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491490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508635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79375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102870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93" w:lineRule="exact"/>
        <w:rPr>
          <w:sz w:val="24"/>
          <w:szCs w:val="24"/>
          <w:color w:val="auto"/>
        </w:rPr>
      </w:pPr>
    </w:p>
    <w:p>
      <w:pPr>
        <w:ind w:left="500" w:right="20" w:hanging="496"/>
        <w:spacing w:after="0" w:line="255" w:lineRule="auto"/>
        <w:tabs>
          <w:tab w:leader="none" w:pos="5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61" w:lineRule="exact"/>
        <w:rPr>
          <w:sz w:val="24"/>
          <w:szCs w:val="24"/>
          <w:color w:val="auto"/>
        </w:rPr>
      </w:pPr>
    </w:p>
    <w:p>
      <w:pPr>
        <w:ind w:left="500" w:right="20" w:hanging="496"/>
        <w:spacing w:after="0" w:line="249" w:lineRule="auto"/>
        <w:tabs>
          <w:tab w:leader="none" w:pos="50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 w:lineRule="exact"/>
        <w:rPr>
          <w:sz w:val="24"/>
          <w:szCs w:val="24"/>
          <w:color w:val="auto"/>
        </w:rPr>
      </w:pPr>
    </w:p>
    <w:p>
      <w:pPr>
        <w:ind w:left="3100"/>
        <w:spacing w:after="0"/>
        <w:tabs>
          <w:tab w:leader="none" w:pos="5760" w:val="left"/>
          <w:tab w:leader="none" w:pos="65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r>
        <w:rPr>
          <w:sz w:val="20"/>
          <w:szCs w:val="20"/>
          <w:color w:val="auto"/>
        </w:rPr>
        <w:tab/>
      </w:r>
      <w:r>
        <w:rPr>
          <w:rFonts w:ascii="Times New Roman" w:cs="Times New Roman" w:eastAsia="Times New Roman" w:hAnsi="Times New Roman"/>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3251835</wp:posOffset>
            </wp:positionH>
            <wp:positionV relativeFrom="paragraph">
              <wp:posOffset>-1270</wp:posOffset>
            </wp:positionV>
            <wp:extent cx="906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6145" cy="8255"/>
                    </a:xfrm>
                    <a:prstGeom prst="rect">
                      <a:avLst/>
                    </a:prstGeom>
                    <a:noFill/>
                  </pic:spPr>
                </pic:pic>
              </a:graphicData>
            </a:graphic>
          </wp:anchor>
        </w:drawing>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92710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186690</wp:posOffset>
            </wp:positionV>
            <wp:extent cx="298323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323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Magnachip Semiconductor Corporation</w:t>
      </w:r>
    </w:p>
    <w:p>
      <w:pPr>
        <w:spacing w:after="0" w:line="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88265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tbl>
      <w:tblPr>
        <w:tblLayout w:type="fixed"/>
        <w:tblInd w:w="1500" w:type="dxa"/>
        <w:tblCellMar>
          <w:top w:w="0" w:type="dxa"/>
          <w:left w:w="0" w:type="dxa"/>
          <w:bottom w:w="0" w:type="dxa"/>
          <w:right w:w="0" w:type="dxa"/>
        </w:tblCellMar>
      </w:tblPr>
      <w:tr>
        <w:trPr>
          <w:trHeight w:val="172"/>
        </w:trPr>
        <w:tc>
          <w:tcPr>
            <w:tcW w:w="3560" w:type="dxa"/>
            <w:vAlign w:val="bottom"/>
          </w:tcPr>
          <w:p>
            <w:pPr>
              <w:jc w:val="center"/>
              <w:ind w:right="1627"/>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800" w:type="dxa"/>
            <w:vAlign w:val="bottom"/>
          </w:tcPr>
          <w:p>
            <w:pPr>
              <w:jc w:val="center"/>
              <w:ind w:left="1587"/>
              <w:spacing w:after="0"/>
              <w:rPr>
                <w:sz w:val="20"/>
                <w:szCs w:val="20"/>
                <w:color w:val="auto"/>
              </w:rPr>
            </w:pPr>
            <w:r>
              <w:rPr>
                <w:rFonts w:ascii="Times New Roman" w:cs="Times New Roman" w:eastAsia="Times New Roman" w:hAnsi="Times New Roman"/>
                <w:sz w:val="15"/>
                <w:szCs w:val="15"/>
                <w:b w:val="1"/>
                <w:bCs w:val="1"/>
                <w:color w:val="auto"/>
              </w:rPr>
              <w:t>83-0406195</w:t>
            </w:r>
          </w:p>
        </w:tc>
      </w:tr>
      <w:tr>
        <w:trPr>
          <w:trHeight w:val="148"/>
        </w:trPr>
        <w:tc>
          <w:tcPr>
            <w:tcW w:w="3560" w:type="dxa"/>
            <w:vAlign w:val="bottom"/>
          </w:tcPr>
          <w:p>
            <w:pPr>
              <w:jc w:val="center"/>
              <w:ind w:right="160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00" w:type="dxa"/>
            <w:vAlign w:val="bottom"/>
          </w:tcPr>
          <w:p>
            <w:pPr>
              <w:jc w:val="center"/>
              <w:ind w:left="160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60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00" w:type="dxa"/>
            <w:vAlign w:val="bottom"/>
          </w:tcPr>
          <w:p>
            <w:pPr>
              <w:jc w:val="center"/>
              <w:ind w:left="160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 Magnachip Semiconductor, Ltd.</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15F, 76 Jikji-daero 436beon-gil, Heungdeok-gu</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Cheongju-si, Chungcheongbuk-do, Republic of Korea 28581</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84455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67"/>
        </w:trPr>
        <w:tc>
          <w:tcPr>
            <w:tcW w:w="32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4"/>
                <w:szCs w:val="14"/>
                <w:color w:val="auto"/>
              </w:rPr>
            </w:pPr>
          </w:p>
        </w:tc>
        <w:tc>
          <w:tcPr>
            <w:tcW w:w="31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8"/>
        </w:trPr>
        <w:tc>
          <w:tcPr>
            <w:tcW w:w="3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40" w:type="dxa"/>
            <w:vAlign w:val="bottom"/>
          </w:tcPr>
          <w:p>
            <w:pPr>
              <w:spacing w:after="0"/>
              <w:rPr>
                <w:sz w:val="18"/>
                <w:szCs w:val="18"/>
                <w:color w:val="auto"/>
              </w:rPr>
            </w:pPr>
          </w:p>
        </w:tc>
        <w:tc>
          <w:tcPr>
            <w:tcW w:w="3100" w:type="dxa"/>
            <w:vAlign w:val="bottom"/>
          </w:tcPr>
          <w:p>
            <w:pPr>
              <w:ind w:left="1360"/>
              <w:spacing w:after="0"/>
              <w:rPr>
                <w:sz w:val="20"/>
                <w:szCs w:val="20"/>
                <w:color w:val="auto"/>
              </w:rPr>
            </w:pPr>
            <w:r>
              <w:rPr>
                <w:rFonts w:ascii="Times New Roman" w:cs="Times New Roman" w:eastAsia="Times New Roman" w:hAnsi="Times New Roman"/>
                <w:sz w:val="15"/>
                <w:szCs w:val="15"/>
                <w:b w:val="1"/>
                <w:bCs w:val="1"/>
                <w:color w:val="auto"/>
              </w:rPr>
              <w:t>MX</w:t>
            </w:r>
          </w:p>
        </w:tc>
        <w:tc>
          <w:tcPr>
            <w:tcW w:w="140" w:type="dxa"/>
            <w:vAlign w:val="bottom"/>
          </w:tcPr>
          <w:p>
            <w:pPr>
              <w:spacing w:after="0"/>
              <w:rPr>
                <w:sz w:val="18"/>
                <w:szCs w:val="18"/>
                <w:color w:val="auto"/>
              </w:rPr>
            </w:pPr>
          </w:p>
        </w:tc>
        <w:tc>
          <w:tcPr>
            <w:tcW w:w="3100" w:type="dxa"/>
            <w:vAlign w:val="bottom"/>
          </w:tcPr>
          <w:p>
            <w:pPr>
              <w:ind w:left="620"/>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82550</wp:posOffset>
            </wp:positionV>
            <wp:extent cx="1234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ind w:right="220" w:firstLine="441"/>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 w:lineRule="exact"/>
        <w:rPr>
          <w:sz w:val="24"/>
          <w:szCs w:val="24"/>
          <w:color w:val="auto"/>
        </w:rPr>
      </w:pPr>
    </w:p>
    <w:p>
      <w:pPr>
        <w:ind w:right="40" w:firstLine="441"/>
        <w:spacing w:after="0" w:line="247"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6"/>
        <w:spacing w:after="0" w:line="173" w:lineRule="exact"/>
        <w:tabs>
          <w:tab w:leader="none" w:pos="22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39" w:lineRule="exact"/>
        <w:rPr>
          <w:sz w:val="24"/>
          <w:szCs w:val="24"/>
          <w:color w:val="auto"/>
        </w:rPr>
      </w:pPr>
    </w:p>
    <w:p>
      <w:pPr>
        <w:ind w:right="140" w:firstLine="441"/>
        <w:spacing w:after="0" w:line="25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16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460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Accelerated filer</w:t>
            </w:r>
          </w:p>
        </w:tc>
        <w:tc>
          <w:tcPr>
            <w:tcW w:w="2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160" w:type="dxa"/>
            <w:vAlign w:val="bottom"/>
          </w:tcPr>
          <w:p>
            <w:pPr>
              <w:ind w:left="200"/>
              <w:spacing w:after="0" w:line="151" w:lineRule="exact"/>
              <w:rPr>
                <w:sz w:val="20"/>
                <w:szCs w:val="20"/>
                <w:color w:val="auto"/>
              </w:rPr>
            </w:pPr>
            <w:r>
              <w:rPr>
                <w:rFonts w:ascii="MS PGothic" w:cs="MS PGothic" w:eastAsia="MS PGothic" w:hAnsi="MS PGothic"/>
                <w:sz w:val="15"/>
                <w:szCs w:val="15"/>
                <w:color w:val="auto"/>
              </w:rPr>
              <w:t>☐</w:t>
            </w:r>
          </w:p>
        </w:tc>
        <w:tc>
          <w:tcPr>
            <w:tcW w:w="460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70"/>
        </w:trPr>
        <w:tc>
          <w:tcPr>
            <w:tcW w:w="15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600" w:type="dxa"/>
            <w:vAlign w:val="bottom"/>
          </w:tcPr>
          <w:p>
            <w:pPr>
              <w:ind w:left="2820"/>
              <w:spacing w:after="0"/>
              <w:rPr>
                <w:sz w:val="20"/>
                <w:szCs w:val="20"/>
                <w:color w:val="auto"/>
              </w:rPr>
            </w:pPr>
            <w:r>
              <w:rPr>
                <w:rFonts w:ascii="Times New Roman" w:cs="Times New Roman" w:eastAsia="Times New Roman" w:hAnsi="Times New Roman"/>
                <w:sz w:val="15"/>
                <w:szCs w:val="15"/>
                <w:color w:val="auto"/>
              </w:rPr>
              <w:t>Emerging growth company</w:t>
            </w:r>
          </w:p>
        </w:tc>
        <w:tc>
          <w:tcPr>
            <w:tcW w:w="240" w:type="dxa"/>
            <w:vAlign w:val="bottom"/>
          </w:tcPr>
          <w:p>
            <w:pPr>
              <w:ind w:left="100"/>
              <w:spacing w:after="0" w:line="151" w:lineRule="exact"/>
              <w:rPr>
                <w:sz w:val="20"/>
                <w:szCs w:val="20"/>
                <w:color w:val="auto"/>
              </w:rPr>
            </w:pPr>
            <w:r>
              <w:rPr>
                <w:rFonts w:ascii="MS PGothic" w:cs="MS PGothic" w:eastAsia="MS PGothic" w:hAnsi="MS PGothic"/>
                <w:sz w:val="15"/>
                <w:szCs w:val="15"/>
                <w:color w:val="auto"/>
                <w:w w:val="79"/>
              </w:rPr>
              <w:t>☐</w:t>
            </w:r>
          </w:p>
        </w:tc>
      </w:tr>
    </w:tbl>
    <w:p>
      <w:pPr>
        <w:jc w:val="both"/>
        <w:ind w:right="140" w:firstLine="441"/>
        <w:spacing w:after="0" w:line="19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440" w:right="118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As of April 30, 2026, the registrant had 36,440,854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549910</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56515</wp:posOffset>
            </wp:positionV>
            <wp:extent cx="6172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6172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660" w:type="dxa"/>
            <w:vAlign w:val="bottom"/>
            <w:vMerge w:val="restart"/>
          </w:tcPr>
          <w:p>
            <w:pPr>
              <w:spacing w:after="0"/>
              <w:rPr>
                <w:sz w:val="2"/>
                <w:szCs w:val="2"/>
                <w:color w:val="auto"/>
              </w:rPr>
            </w:pPr>
          </w:p>
        </w:tc>
        <w:tc>
          <w:tcPr>
            <w:tcW w:w="8840" w:type="dxa"/>
            <w:vAlign w:val="bottom"/>
            <w:gridSpan w:val="28"/>
            <w:vMerge w:val="restart"/>
          </w:tcPr>
          <w:p>
            <w:pPr>
              <w:spacing w:after="0" w:line="199"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880" w:type="dxa"/>
            <w:vAlign w:val="bottom"/>
            <w:tcBorders>
              <w:bottom w:val="single" w:sz="8" w:color="auto"/>
            </w:tcBorders>
          </w:tcPr>
          <w:p>
            <w:pPr>
              <w:spacing w:after="0"/>
              <w:rPr>
                <w:sz w:val="2"/>
                <w:szCs w:val="2"/>
                <w:color w:val="auto"/>
              </w:rPr>
            </w:pPr>
          </w:p>
        </w:tc>
        <w:tc>
          <w:tcPr>
            <w:tcW w:w="6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60" w:type="dxa"/>
            <w:vAlign w:val="bottom"/>
            <w:vMerge w:val="continue"/>
          </w:tcPr>
          <w:p>
            <w:pPr>
              <w:spacing w:after="0"/>
              <w:rPr>
                <w:sz w:val="13"/>
                <w:szCs w:val="13"/>
                <w:color w:val="auto"/>
              </w:rPr>
            </w:pPr>
          </w:p>
        </w:tc>
        <w:tc>
          <w:tcPr>
            <w:tcW w:w="8840" w:type="dxa"/>
            <w:vAlign w:val="bottom"/>
            <w:gridSpan w:val="28"/>
            <w:vMerge w:val="continue"/>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vMerge w:val="restart"/>
          </w:tcPr>
          <w:p>
            <w:pPr>
              <w:jc w:val="right"/>
              <w:ind w:right="660"/>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770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Interim Consolidated Financial Statements (Unaudited)</w:t>
            </w: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8"/>
              </w:rPr>
              <w:t>Magnachip Semiconductor Corporation and Subsidiaries</w:t>
            </w:r>
          </w:p>
        </w:tc>
        <w:tc>
          <w:tcPr>
            <w:tcW w:w="3660" w:type="dxa"/>
            <w:vAlign w:val="bottom"/>
            <w:gridSpan w:val="11"/>
          </w:tcPr>
          <w:p>
            <w:pPr>
              <w:ind w:left="100"/>
              <w:spacing w:after="0" w:line="182" w:lineRule="exact"/>
              <w:rPr>
                <w:sz w:val="20"/>
                <w:szCs w:val="20"/>
                <w:color w:val="auto"/>
              </w:rPr>
            </w:pPr>
            <w:r>
              <w:rPr>
                <w:rFonts w:ascii="Times New Roman" w:cs="Times New Roman" w:eastAsia="Times New Roman" w:hAnsi="Times New Roman"/>
                <w:sz w:val="18"/>
                <w:szCs w:val="18"/>
                <w:color w:val="0000FF"/>
              </w:rPr>
              <w:t>Consolidated Balance Sheets as of March 31,</w:t>
            </w:r>
          </w:p>
        </w:tc>
        <w:tc>
          <w:tcPr>
            <w:tcW w:w="15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722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2026 and December 31, 2025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gridSpan w:val="26"/>
          </w:tcPr>
          <w:p>
            <w:pPr>
              <w:spacing w:after="0" w:line="169" w:lineRule="exact"/>
              <w:rPr>
                <w:sz w:val="20"/>
                <w:szCs w:val="20"/>
                <w:color w:val="auto"/>
              </w:rPr>
            </w:pPr>
            <w:r>
              <w:rPr>
                <w:rFonts w:ascii="Times New Roman" w:cs="Times New Roman" w:eastAsia="Times New Roman" w:hAnsi="Times New Roman"/>
                <w:sz w:val="18"/>
                <w:szCs w:val="18"/>
                <w:color w:val="0000FF"/>
              </w:rPr>
              <w:t>Magnachip Semiconductor Corporation and Subsidiaries Consolidated Statements of Operations for the</w:t>
            </w:r>
          </w:p>
        </w:tc>
        <w:tc>
          <w:tcPr>
            <w:tcW w:w="15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20" w:type="dxa"/>
            <w:vAlign w:val="bottom"/>
            <w:tcBorders>
              <w:top w:val="single" w:sz="8" w:color="0000FF"/>
              <w:bottom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9"/>
              </w:rPr>
              <w:t>Three Months Ended March 31, 2026 and 2025</w:t>
            </w:r>
          </w:p>
        </w:tc>
        <w:tc>
          <w:tcPr>
            <w:tcW w:w="20" w:type="dxa"/>
            <w:vAlign w:val="bottom"/>
            <w:tcBorders>
              <w:top w:val="single" w:sz="8" w:color="0000FF"/>
              <w:bottom w:val="single" w:sz="8" w:color="0000EE"/>
            </w:tcBorders>
          </w:tcPr>
          <w:p>
            <w:pPr>
              <w:spacing w:after="0"/>
              <w:rPr>
                <w:sz w:val="14"/>
                <w:szCs w:val="14"/>
                <w:color w:val="auto"/>
              </w:rPr>
            </w:pPr>
          </w:p>
        </w:tc>
        <w:tc>
          <w:tcPr>
            <w:tcW w:w="384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tcBorders>
              <w:bottom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8"/>
                <w:szCs w:val="18"/>
                <w:color w:val="0000FF"/>
              </w:rPr>
              <w:t>Magnachip Semiconductor Corporation and Subsidiaries Consolidated Statements of Comprehensive Loss</w:t>
            </w:r>
          </w:p>
        </w:tc>
        <w:tc>
          <w:tcPr>
            <w:tcW w:w="15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w w:val="99"/>
              </w:rPr>
              <w:t>for the Three Months Ended March 31, 2026 and 2025</w:t>
            </w:r>
          </w:p>
        </w:tc>
        <w:tc>
          <w:tcPr>
            <w:tcW w:w="20" w:type="dxa"/>
            <w:vAlign w:val="bottom"/>
            <w:tcBorders>
              <w:bottom w:val="single" w:sz="8" w:color="0000EE"/>
            </w:tcBorders>
          </w:tcPr>
          <w:p>
            <w:pPr>
              <w:spacing w:after="0"/>
              <w:rPr>
                <w:sz w:val="14"/>
                <w:szCs w:val="14"/>
                <w:color w:val="auto"/>
              </w:rPr>
            </w:pPr>
          </w:p>
        </w:tc>
        <w:tc>
          <w:tcPr>
            <w:tcW w:w="3520" w:type="dxa"/>
            <w:vAlign w:val="bottom"/>
            <w:gridSpan w:val="9"/>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Magnachip Semiconductor Corporation and Subsidiaries</w:t>
            </w:r>
          </w:p>
        </w:tc>
        <w:tc>
          <w:tcPr>
            <w:tcW w:w="352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Consolidated Statements of Changes in</w:t>
            </w:r>
          </w:p>
        </w:tc>
        <w:tc>
          <w:tcPr>
            <w:tcW w:w="15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78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Stockholders’ Equity for the Three Months Ended March 31, 2026 and 2025</w:t>
            </w:r>
          </w:p>
        </w:tc>
        <w:tc>
          <w:tcPr>
            <w:tcW w:w="28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gridSpan w:val="7"/>
            <w:vMerge w:val="restart"/>
          </w:tcPr>
          <w:p>
            <w:pPr>
              <w:ind w:left="220"/>
              <w:spacing w:after="0" w:line="189" w:lineRule="exact"/>
              <w:rPr>
                <w:sz w:val="20"/>
                <w:szCs w:val="20"/>
                <w:color w:val="auto"/>
              </w:rPr>
            </w:pPr>
            <w:r>
              <w:rPr>
                <w:rFonts w:ascii="Times New Roman" w:cs="Times New Roman" w:eastAsia="Times New Roman" w:hAnsi="Times New Roman"/>
                <w:sz w:val="18"/>
                <w:szCs w:val="18"/>
                <w:color w:val="0000FF"/>
              </w:rPr>
              <w:t>of Cash Flows for the</w:t>
            </w: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gridSpan w:val="19"/>
          </w:tcPr>
          <w:p>
            <w:pPr>
              <w:spacing w:after="0" w:line="169" w:lineRule="exact"/>
              <w:rPr>
                <w:sz w:val="20"/>
                <w:szCs w:val="20"/>
                <w:color w:val="auto"/>
              </w:rPr>
            </w:pPr>
            <w:r>
              <w:rPr>
                <w:rFonts w:ascii="Times New Roman" w:cs="Times New Roman" w:eastAsia="Times New Roman" w:hAnsi="Times New Roman"/>
                <w:sz w:val="18"/>
                <w:szCs w:val="18"/>
                <w:color w:val="0000FF"/>
                <w:w w:val="96"/>
              </w:rPr>
              <w:t>Magnachip Semiconductor Corporation and Subsidiaries Consolidated Statements</w:t>
            </w:r>
          </w:p>
        </w:tc>
        <w:tc>
          <w:tcPr>
            <w:tcW w:w="1960" w:type="dxa"/>
            <w:vAlign w:val="bottom"/>
            <w:gridSpan w:val="7"/>
            <w:vMerge w:val="continue"/>
          </w:tcPr>
          <w:p>
            <w:pPr>
              <w:spacing w:after="0"/>
              <w:rPr>
                <w:sz w:val="14"/>
                <w:szCs w:val="14"/>
                <w:color w:val="auto"/>
              </w:rPr>
            </w:pPr>
          </w:p>
        </w:tc>
        <w:tc>
          <w:tcPr>
            <w:tcW w:w="15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20" w:type="dxa"/>
            <w:vAlign w:val="bottom"/>
            <w:tcBorders>
              <w:top w:val="single" w:sz="8" w:color="0000FF"/>
              <w:bottom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w w:val="99"/>
              </w:rPr>
              <w:t>Three Months Ended March 31, 2026 and 2025</w:t>
            </w:r>
          </w:p>
        </w:tc>
        <w:tc>
          <w:tcPr>
            <w:tcW w:w="20" w:type="dxa"/>
            <w:vAlign w:val="bottom"/>
            <w:tcBorders>
              <w:top w:val="single" w:sz="8" w:color="0000FF"/>
              <w:bottom w:val="single" w:sz="8" w:color="0000EE"/>
            </w:tcBorders>
          </w:tcPr>
          <w:p>
            <w:pPr>
              <w:spacing w:after="0"/>
              <w:rPr>
                <w:sz w:val="14"/>
                <w:szCs w:val="14"/>
                <w:color w:val="auto"/>
              </w:rPr>
            </w:pPr>
          </w:p>
        </w:tc>
        <w:tc>
          <w:tcPr>
            <w:tcW w:w="3900" w:type="dxa"/>
            <w:vAlign w:val="bottom"/>
            <w:tcBorders>
              <w:top w:val="single" w:sz="8" w:color="0000FF"/>
            </w:tcBorders>
            <w:gridSpan w:val="11"/>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00" w:type="dxa"/>
            <w:vAlign w:val="bottom"/>
            <w:gridSpan w:val="26"/>
          </w:tcPr>
          <w:p>
            <w:pPr>
              <w:spacing w:after="0" w:line="169" w:lineRule="exact"/>
              <w:rPr>
                <w:sz w:val="20"/>
                <w:szCs w:val="20"/>
                <w:color w:val="auto"/>
              </w:rPr>
            </w:pPr>
            <w:r>
              <w:rPr>
                <w:rFonts w:ascii="Times New Roman" w:cs="Times New Roman" w:eastAsia="Times New Roman" w:hAnsi="Times New Roman"/>
                <w:sz w:val="18"/>
                <w:szCs w:val="18"/>
                <w:color w:val="0000FF"/>
              </w:rPr>
              <w:t>Magnachip Semiconductor Corporation and Subsidiaries Notes to Consolidated Financial Statements</w:t>
            </w:r>
          </w:p>
        </w:tc>
        <w:tc>
          <w:tcPr>
            <w:tcW w:w="1540" w:type="dxa"/>
            <w:vAlign w:val="bottom"/>
            <w:gridSpan w:val="2"/>
          </w:tcPr>
          <w:p>
            <w:pPr>
              <w:jc w:val="right"/>
              <w:ind w:right="660"/>
              <w:spacing w:after="0" w:line="16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728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20" w:type="dxa"/>
            <w:vAlign w:val="bottom"/>
            <w:gridSpan w:val="4"/>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gridSpan w:val="6"/>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gridSpan w:val="2"/>
            <w:vMerge w:val="restart"/>
          </w:tcPr>
          <w:p>
            <w:pPr>
              <w:ind w:left="4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1540" w:type="dxa"/>
            <w:vAlign w:val="bottom"/>
            <w:gridSpan w:val="2"/>
            <w:vMerge w:val="restart"/>
          </w:tcPr>
          <w:p>
            <w:pPr>
              <w:jc w:val="right"/>
              <w:ind w:right="66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700" w:type="dxa"/>
            <w:vAlign w:val="bottom"/>
            <w:gridSpan w:val="26"/>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86"/>
              </w:rPr>
              <w:t>PART II OTHER</w:t>
            </w:r>
          </w:p>
        </w:tc>
        <w:tc>
          <w:tcPr>
            <w:tcW w:w="1440" w:type="dxa"/>
            <w:vAlign w:val="bottom"/>
            <w:tcBorders>
              <w:top w:val="single" w:sz="8" w:color="0000FF"/>
              <w:bottom w:val="single" w:sz="8" w:color="0000FF"/>
            </w:tcBorders>
            <w:gridSpan w:val="9"/>
          </w:tcPr>
          <w:p>
            <w:pPr>
              <w:ind w:left="180"/>
              <w:spacing w:after="0" w:line="182" w:lineRule="exact"/>
              <w:rPr>
                <w:sz w:val="20"/>
                <w:szCs w:val="20"/>
                <w:color w:val="auto"/>
              </w:rPr>
            </w:pPr>
            <w:r>
              <w:rPr>
                <w:rFonts w:ascii="Times New Roman" w:cs="Times New Roman" w:eastAsia="Times New Roman" w:hAnsi="Times New Roman"/>
                <w:sz w:val="18"/>
                <w:szCs w:val="18"/>
                <w:color w:val="0000FF"/>
                <w:w w:val="98"/>
              </w:rPr>
              <w:t>INFORMATION</w:t>
            </w:r>
          </w:p>
        </w:tc>
        <w:tc>
          <w:tcPr>
            <w:tcW w:w="40" w:type="dxa"/>
            <w:vAlign w:val="bottom"/>
            <w:tcBorders>
              <w:top w:val="single" w:sz="8" w:color="0000FF"/>
              <w:bottom w:val="single" w:sz="8" w:color="0000EE"/>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40" w:type="dxa"/>
            <w:vAlign w:val="bottom"/>
          </w:tcPr>
          <w:p>
            <w:pPr>
              <w:spacing w:after="0"/>
              <w:rPr>
                <w:sz w:val="15"/>
                <w:szCs w:val="15"/>
                <w:color w:val="auto"/>
              </w:rPr>
            </w:pPr>
          </w:p>
        </w:tc>
        <w:tc>
          <w:tcPr>
            <w:tcW w:w="2040" w:type="dxa"/>
            <w:vAlign w:val="bottom"/>
            <w:gridSpan w:val="6"/>
          </w:tcPr>
          <w:p>
            <w:pPr>
              <w:spacing w:after="0"/>
              <w:rPr>
                <w:sz w:val="15"/>
                <w:szCs w:val="15"/>
                <w:color w:val="auto"/>
              </w:rPr>
            </w:pPr>
          </w:p>
        </w:tc>
        <w:tc>
          <w:tcPr>
            <w:tcW w:w="3320" w:type="dxa"/>
            <w:vAlign w:val="bottom"/>
            <w:gridSpan w:val="8"/>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48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860" w:type="dxa"/>
            <w:vAlign w:val="bottom"/>
            <w:gridSpan w:val="2"/>
          </w:tcPr>
          <w:p>
            <w:pPr>
              <w:spacing w:after="0"/>
              <w:rPr>
                <w:sz w:val="15"/>
                <w:szCs w:val="15"/>
                <w:color w:val="auto"/>
              </w:rPr>
            </w:pPr>
          </w:p>
        </w:tc>
        <w:tc>
          <w:tcPr>
            <w:tcW w:w="2040" w:type="dxa"/>
            <w:vAlign w:val="bottom"/>
            <w:gridSpan w:val="6"/>
          </w:tcPr>
          <w:p>
            <w:pPr>
              <w:spacing w:after="0"/>
              <w:rPr>
                <w:sz w:val="15"/>
                <w:szCs w:val="15"/>
                <w:color w:val="auto"/>
              </w:rPr>
            </w:pPr>
          </w:p>
        </w:tc>
        <w:tc>
          <w:tcPr>
            <w:tcW w:w="3320" w:type="dxa"/>
            <w:vAlign w:val="bottom"/>
            <w:gridSpan w:val="8"/>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4"/>
          </w:tcPr>
          <w:p>
            <w:pPr>
              <w:spacing w:after="0"/>
              <w:rPr>
                <w:sz w:val="15"/>
                <w:szCs w:val="15"/>
                <w:color w:val="auto"/>
              </w:rPr>
            </w:pPr>
          </w:p>
        </w:tc>
        <w:tc>
          <w:tcPr>
            <w:tcW w:w="2040" w:type="dxa"/>
            <w:vAlign w:val="bottom"/>
            <w:gridSpan w:val="6"/>
          </w:tcPr>
          <w:p>
            <w:pPr>
              <w:spacing w:after="0"/>
              <w:rPr>
                <w:sz w:val="15"/>
                <w:szCs w:val="15"/>
                <w:color w:val="auto"/>
              </w:rPr>
            </w:pPr>
          </w:p>
        </w:tc>
        <w:tc>
          <w:tcPr>
            <w:tcW w:w="3320" w:type="dxa"/>
            <w:vAlign w:val="bottom"/>
            <w:gridSpan w:val="8"/>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20" w:type="dxa"/>
            <w:vAlign w:val="bottom"/>
            <w:tcBorders>
              <w:top w:val="single" w:sz="8" w:color="0000EE"/>
            </w:tcBorders>
          </w:tcPr>
          <w:p>
            <w:pPr>
              <w:spacing w:after="0"/>
              <w:rPr>
                <w:sz w:val="15"/>
                <w:szCs w:val="15"/>
                <w:color w:val="auto"/>
              </w:rPr>
            </w:pPr>
          </w:p>
        </w:tc>
        <w:tc>
          <w:tcPr>
            <w:tcW w:w="6780" w:type="dxa"/>
            <w:vAlign w:val="bottom"/>
            <w:gridSpan w:val="20"/>
          </w:tcPr>
          <w:p>
            <w:pPr>
              <w:ind w:left="6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320" w:type="dxa"/>
            <w:vAlign w:val="bottom"/>
            <w:gridSpan w:val="8"/>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5360" w:type="dxa"/>
            <w:vAlign w:val="bottom"/>
            <w:gridSpan w:val="14"/>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80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5900" w:type="dxa"/>
            <w:vAlign w:val="bottom"/>
            <w:gridSpan w:val="15"/>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ind w:left="44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6380" w:type="dxa"/>
            <w:vAlign w:val="bottom"/>
            <w:gridSpan w:val="19"/>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SIGNATURES</w:t>
            </w:r>
          </w:p>
        </w:tc>
        <w:tc>
          <w:tcPr>
            <w:tcW w:w="2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642"/>
        </w:trPr>
        <w:tc>
          <w:tcPr>
            <w:tcW w:w="66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40" w:type="dxa"/>
            <w:vAlign w:val="bottom"/>
            <w:gridSpan w:val="15"/>
          </w:tcPr>
          <w:p>
            <w:pPr>
              <w:ind w:left="36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Interim Consolidated Financial Statements (Unaudited)</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17"/>
        </w:trPr>
        <w:tc>
          <w:tcPr>
            <w:tcW w:w="6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gridSpan w:val="6"/>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 except share</w:t>
            </w:r>
          </w:p>
        </w:tc>
      </w:tr>
      <w:tr>
        <w:trPr>
          <w:trHeight w:val="173"/>
        </w:trPr>
        <w:tc>
          <w:tcPr>
            <w:tcW w:w="6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94,554</w:t>
            </w:r>
          </w:p>
        </w:tc>
        <w:tc>
          <w:tcPr>
            <w:tcW w:w="16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103,756</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24,176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26,022</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Inventories, net</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32,848</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34,151</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receivables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4,203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Prepaid expenses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5,591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5,062</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Hedge collateral (Note 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6"/>
                <w:szCs w:val="16"/>
                <w:color w:val="auto"/>
              </w:rPr>
            </w:pPr>
          </w:p>
        </w:tc>
      </w:tr>
      <w:tr>
        <w:trPr>
          <w:trHeight w:val="189"/>
        </w:trPr>
        <w:tc>
          <w:tcPr>
            <w:tcW w:w="6280" w:type="dxa"/>
            <w:vAlign w:val="bottom"/>
            <w:tcBorders>
              <w:bottom w:val="single" w:sz="8" w:color="CFF0FC"/>
            </w:tcBorders>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current assets (Note 17)</w:t>
            </w:r>
          </w:p>
        </w:tc>
        <w:tc>
          <w:tcPr>
            <w:tcW w:w="4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3,681</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3,782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2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170,023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176,855</w:t>
            </w:r>
          </w:p>
        </w:tc>
        <w:tc>
          <w:tcPr>
            <w:tcW w:w="100" w:type="dxa"/>
            <w:vAlign w:val="bottom"/>
          </w:tcPr>
          <w:p>
            <w:pPr>
              <w:spacing w:after="0"/>
              <w:rPr>
                <w:sz w:val="15"/>
                <w:szCs w:val="15"/>
                <w:color w:val="auto"/>
              </w:rPr>
            </w:pPr>
          </w:p>
        </w:tc>
      </w:tr>
      <w:tr>
        <w:trPr>
          <w:trHeight w:val="189"/>
        </w:trPr>
        <w:tc>
          <w:tcPr>
            <w:tcW w:w="6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95,072</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100,204</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Long-term prepaid expenses, net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61,222</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64,248</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6,416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7,114</w:t>
            </w:r>
          </w:p>
        </w:tc>
        <w:tc>
          <w:tcPr>
            <w:tcW w:w="100" w:type="dxa"/>
            <w:vAlign w:val="bottom"/>
          </w:tcPr>
          <w:p>
            <w:pPr>
              <w:spacing w:after="0"/>
              <w:rPr>
                <w:sz w:val="16"/>
                <w:szCs w:val="16"/>
                <w:color w:val="auto"/>
              </w:rPr>
            </w:pPr>
          </w:p>
        </w:tc>
      </w:tr>
      <w:tr>
        <w:trPr>
          <w:trHeight w:val="223"/>
        </w:trPr>
        <w:tc>
          <w:tcPr>
            <w:tcW w:w="6280" w:type="dxa"/>
            <w:vAlign w:val="bottom"/>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335,465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351,529</w:t>
            </w:r>
          </w:p>
        </w:tc>
        <w:tc>
          <w:tcPr>
            <w:tcW w:w="100" w:type="dxa"/>
            <w:vAlign w:val="bottom"/>
            <w:shd w:val="clear" w:color="auto" w:fill="CFF0FC"/>
          </w:tcPr>
          <w:p>
            <w:pPr>
              <w:spacing w:after="0"/>
              <w:rPr>
                <w:sz w:val="19"/>
                <w:szCs w:val="19"/>
                <w:color w:val="auto"/>
              </w:rPr>
            </w:pPr>
          </w:p>
        </w:tc>
      </w:tr>
      <w:tr>
        <w:trPr>
          <w:trHeight w:val="170"/>
        </w:trPr>
        <w:tc>
          <w:tcPr>
            <w:tcW w:w="628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6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21,330</w:t>
            </w:r>
          </w:p>
        </w:tc>
        <w:tc>
          <w:tcPr>
            <w:tcW w:w="16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20,848</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accounts payable</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10,813</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11,444</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Accrued expenses (Note 7)</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5,490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Accrued income taxes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Current portion of long-term borrowings (Note 11)</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26,431</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6,264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2,681</w:t>
            </w:r>
          </w:p>
        </w:tc>
        <w:tc>
          <w:tcPr>
            <w:tcW w:w="100" w:type="dxa"/>
            <w:vAlign w:val="bottom"/>
          </w:tcPr>
          <w:p>
            <w:pPr>
              <w:spacing w:after="0"/>
              <w:rPr>
                <w:sz w:val="16"/>
                <w:szCs w:val="16"/>
                <w:color w:val="auto"/>
              </w:rPr>
            </w:pPr>
          </w:p>
        </w:tc>
      </w:tr>
      <w:tr>
        <w:trPr>
          <w:trHeight w:val="183"/>
        </w:trPr>
        <w:tc>
          <w:tcPr>
            <w:tcW w:w="6280" w:type="dxa"/>
            <w:vAlign w:val="bottom"/>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71,717</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43,410</w:t>
            </w:r>
          </w:p>
        </w:tc>
        <w:tc>
          <w:tcPr>
            <w:tcW w:w="100" w:type="dxa"/>
            <w:vAlign w:val="bottom"/>
            <w:shd w:val="clear" w:color="auto" w:fill="CFF0FC"/>
          </w:tcPr>
          <w:p>
            <w:pPr>
              <w:spacing w:after="0"/>
              <w:rPr>
                <w:sz w:val="15"/>
                <w:szCs w:val="15"/>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Long-term borrowings (Note 11)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15,855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44,599</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severance benefits, net</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11,660</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11,502</w:t>
            </w:r>
          </w:p>
        </w:tc>
        <w:tc>
          <w:tcPr>
            <w:tcW w:w="100" w:type="dxa"/>
            <w:vAlign w:val="bottom"/>
            <w:shd w:val="clear" w:color="auto" w:fill="CFF0FC"/>
          </w:tcPr>
          <w:p>
            <w:pPr>
              <w:spacing w:after="0"/>
              <w:rPr>
                <w:sz w:val="16"/>
                <w:szCs w:val="16"/>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Non-current operating lease liabilities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6"/>
                <w:szCs w:val="16"/>
                <w:color w:val="auto"/>
              </w:rPr>
            </w:pPr>
          </w:p>
        </w:tc>
      </w:tr>
      <w:tr>
        <w:trPr>
          <w:trHeight w:val="189"/>
        </w:trPr>
        <w:tc>
          <w:tcPr>
            <w:tcW w:w="628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2,921</w:t>
            </w:r>
          </w:p>
        </w:tc>
        <w:tc>
          <w:tcPr>
            <w:tcW w:w="1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3,078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2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102,662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103,279</w:t>
            </w:r>
          </w:p>
        </w:tc>
        <w:tc>
          <w:tcPr>
            <w:tcW w:w="100" w:type="dxa"/>
            <w:vAlign w:val="bottom"/>
          </w:tcPr>
          <w:p>
            <w:pPr>
              <w:spacing w:after="0"/>
              <w:rPr>
                <w:sz w:val="15"/>
                <w:szCs w:val="15"/>
                <w:color w:val="auto"/>
              </w:rPr>
            </w:pPr>
          </w:p>
        </w:tc>
      </w:tr>
      <w:tr>
        <w:trPr>
          <w:trHeight w:val="183"/>
        </w:trPr>
        <w:tc>
          <w:tcPr>
            <w:tcW w:w="6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Commitments and contingencies (Note 17)</w:t>
            </w: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7"/>
        </w:trPr>
        <w:tc>
          <w:tcPr>
            <w:tcW w:w="6280" w:type="dxa"/>
            <w:vAlign w:val="bottom"/>
            <w:shd w:val="clear" w:color="auto" w:fill="CFF0FC"/>
          </w:tcPr>
          <w:p>
            <w:pPr>
              <w:ind w:left="180"/>
              <w:spacing w:after="0" w:line="157" w:lineRule="exact"/>
              <w:rPr>
                <w:sz w:val="20"/>
                <w:szCs w:val="20"/>
                <w:color w:val="auto"/>
              </w:rPr>
            </w:pPr>
            <w:r>
              <w:rPr>
                <w:rFonts w:ascii="Times New Roman" w:cs="Times New Roman" w:eastAsia="Times New Roman" w:hAnsi="Times New Roman"/>
                <w:sz w:val="18"/>
                <w:szCs w:val="18"/>
                <w:color w:val="auto"/>
              </w:rPr>
              <w:t>Common stock, $0.01 par value, 150,000,000 shares authorized, 58,249,450</w:t>
            </w: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9"/>
        </w:trPr>
        <w:tc>
          <w:tcPr>
            <w:tcW w:w="6280" w:type="dxa"/>
            <w:vAlign w:val="bottom"/>
            <w:shd w:val="clear" w:color="auto" w:fill="CFF0FC"/>
          </w:tcPr>
          <w:p>
            <w:pPr>
              <w:ind w:left="320"/>
              <w:spacing w:after="0" w:line="189" w:lineRule="exact"/>
              <w:rPr>
                <w:sz w:val="20"/>
                <w:szCs w:val="20"/>
                <w:color w:val="auto"/>
              </w:rPr>
            </w:pPr>
            <w:r>
              <w:rPr>
                <w:rFonts w:ascii="Times New Roman" w:cs="Times New Roman" w:eastAsia="Times New Roman" w:hAnsi="Times New Roman"/>
                <w:sz w:val="18"/>
                <w:szCs w:val="18"/>
                <w:color w:val="auto"/>
              </w:rPr>
              <w:t>shares issued and 36,440,854 outstanding at March 31, 2026 and 58,027,696</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1"/>
        </w:trPr>
        <w:tc>
          <w:tcPr>
            <w:tcW w:w="62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shares issued and 36,219,100 outstanding at December 31, 2025</w:t>
            </w: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FF0FC"/>
          </w:tcPr>
          <w:p>
            <w:pPr>
              <w:spacing w:after="0"/>
              <w:rPr>
                <w:sz w:val="19"/>
                <w:szCs w:val="19"/>
                <w:color w:val="auto"/>
              </w:rPr>
            </w:pPr>
          </w:p>
        </w:tc>
      </w:tr>
      <w:tr>
        <w:trPr>
          <w:trHeight w:val="189"/>
        </w:trPr>
        <w:tc>
          <w:tcPr>
            <w:tcW w:w="6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282,178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281,537</w:t>
            </w:r>
          </w:p>
        </w:tc>
        <w:tc>
          <w:tcPr>
            <w:tcW w:w="100" w:type="dxa"/>
            <w:vAlign w:val="bottom"/>
          </w:tcPr>
          <w:p>
            <w:pPr>
              <w:spacing w:after="0"/>
              <w:rPr>
                <w:sz w:val="16"/>
                <w:szCs w:val="16"/>
                <w:color w:val="auto"/>
              </w:rPr>
            </w:pP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210,205</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214,852</w:t>
            </w:r>
          </w:p>
        </w:tc>
        <w:tc>
          <w:tcPr>
            <w:tcW w:w="100" w:type="dxa"/>
            <w:vAlign w:val="bottom"/>
            <w:shd w:val="clear" w:color="auto" w:fill="CFF0FC"/>
          </w:tcPr>
          <w:p>
            <w:pPr>
              <w:spacing w:after="0"/>
              <w:rPr>
                <w:sz w:val="16"/>
                <w:szCs w:val="16"/>
                <w:color w:val="auto"/>
              </w:rPr>
            </w:pPr>
          </w:p>
        </w:tc>
      </w:tr>
      <w:tr>
        <w:trPr>
          <w:trHeight w:val="157"/>
        </w:trPr>
        <w:tc>
          <w:tcPr>
            <w:tcW w:w="628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Treasury stock, 21,808,596 shares at March 31, 2026 and 21,808,596 shares at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1"/>
        </w:trPr>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(229,910)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(229,910)</w:t>
            </w:r>
          </w:p>
        </w:tc>
      </w:tr>
      <w:tr>
        <w:trPr>
          <w:trHeight w:val="189"/>
        </w:trPr>
        <w:tc>
          <w:tcPr>
            <w:tcW w:w="6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(30,251)</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(18,808)</w:t>
            </w:r>
          </w:p>
        </w:tc>
      </w:tr>
      <w:tr>
        <w:trPr>
          <w:trHeight w:val="183"/>
        </w:trPr>
        <w:tc>
          <w:tcPr>
            <w:tcW w:w="6280" w:type="dxa"/>
            <w:vAlign w:val="bottom"/>
            <w:tcBorders>
              <w:top w:val="single" w:sz="8" w:color="CFF0FC"/>
            </w:tcBorders>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232,803</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248,250</w:t>
            </w:r>
          </w:p>
        </w:tc>
        <w:tc>
          <w:tcPr>
            <w:tcW w:w="100" w:type="dxa"/>
            <w:vAlign w:val="bottom"/>
            <w:tcBorders>
              <w:top w:val="single" w:sz="8" w:color="CFF0FC"/>
            </w:tcBorders>
          </w:tcPr>
          <w:p>
            <w:pPr>
              <w:spacing w:after="0"/>
              <w:rPr>
                <w:sz w:val="15"/>
                <w:szCs w:val="15"/>
                <w:color w:val="auto"/>
              </w:rPr>
            </w:pPr>
          </w:p>
        </w:tc>
      </w:tr>
      <w:tr>
        <w:trPr>
          <w:trHeight w:val="223"/>
        </w:trPr>
        <w:tc>
          <w:tcPr>
            <w:tcW w:w="6280" w:type="dxa"/>
            <w:vAlign w:val="bottom"/>
            <w:tcBorders>
              <w:bottom w:val="single" w:sz="8" w:color="CFF0FC"/>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335,465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351,529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5120005</wp:posOffset>
            </wp:positionH>
            <wp:positionV relativeFrom="paragraph">
              <wp:posOffset>-4311015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-4311015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-3333750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-3316605</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-3333750</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-3316605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-1619250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-1619250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-281940</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-281940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-24765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-8255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7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5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17"/>
        </w:trPr>
        <w:tc>
          <w:tcPr>
            <w:tcW w:w="5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6"/>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 except share</w:t>
            </w:r>
          </w:p>
        </w:tc>
      </w:tr>
      <w:tr>
        <w:trPr>
          <w:trHeight w:val="173"/>
        </w:trPr>
        <w:tc>
          <w:tcPr>
            <w:tcW w:w="5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tcPr>
          <w:p>
            <w:pPr>
              <w:jc w:val="center"/>
              <w:ind w:left="933"/>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46,208</w:t>
            </w:r>
          </w:p>
        </w:tc>
        <w:tc>
          <w:tcPr>
            <w:tcW w:w="14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44,722</w:t>
            </w:r>
          </w:p>
        </w:tc>
        <w:tc>
          <w:tcPr>
            <w:tcW w:w="100" w:type="dxa"/>
            <w:vAlign w:val="bottom"/>
            <w:shd w:val="clear" w:color="auto" w:fill="CFF0FC"/>
          </w:tcPr>
          <w:p>
            <w:pPr>
              <w:spacing w:after="0"/>
              <w:rPr>
                <w:sz w:val="16"/>
                <w:szCs w:val="16"/>
                <w:color w:val="auto"/>
              </w:rPr>
            </w:pP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39,014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35,360</w:t>
            </w:r>
          </w:p>
        </w:tc>
        <w:tc>
          <w:tcPr>
            <w:tcW w:w="100" w:type="dxa"/>
            <w:vAlign w:val="bottom"/>
          </w:tcPr>
          <w:p>
            <w:pPr>
              <w:spacing w:after="0"/>
              <w:rPr>
                <w:sz w:val="16"/>
                <w:szCs w:val="16"/>
                <w:color w:val="auto"/>
              </w:rPr>
            </w:pPr>
          </w:p>
        </w:tc>
      </w:tr>
      <w:tr>
        <w:trPr>
          <w:trHeight w:val="183"/>
        </w:trPr>
        <w:tc>
          <w:tcPr>
            <w:tcW w:w="5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7,194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CFF0FC"/>
          </w:tcPr>
          <w:p>
            <w:pPr>
              <w:spacing w:after="0"/>
              <w:rPr>
                <w:sz w:val="15"/>
                <w:szCs w:val="15"/>
                <w:color w:val="auto"/>
              </w:rPr>
            </w:pP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7,666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9,203</w:t>
            </w:r>
          </w:p>
        </w:tc>
        <w:tc>
          <w:tcPr>
            <w:tcW w:w="100" w:type="dxa"/>
            <w:vAlign w:val="bottom"/>
            <w:shd w:val="clear" w:color="auto" w:fill="CFF0FC"/>
          </w:tcPr>
          <w:p>
            <w:pPr>
              <w:spacing w:after="0"/>
              <w:rPr>
                <w:sz w:val="16"/>
                <w:szCs w:val="16"/>
                <w:color w:val="auto"/>
              </w:rPr>
            </w:pPr>
          </w:p>
        </w:tc>
      </w:tr>
      <w:tr>
        <w:trPr>
          <w:trHeight w:val="189"/>
        </w:trPr>
        <w:tc>
          <w:tcPr>
            <w:tcW w:w="5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6,698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16"/>
                <w:szCs w:val="16"/>
                <w:color w:val="auto"/>
              </w:rPr>
            </w:pPr>
          </w:p>
        </w:tc>
      </w:tr>
      <w:tr>
        <w:trPr>
          <w:trHeight w:val="183"/>
        </w:trPr>
        <w:tc>
          <w:tcPr>
            <w:tcW w:w="5620" w:type="dxa"/>
            <w:vAlign w:val="bottom"/>
            <w:tcBorders>
              <w:bottom w:val="single" w:sz="8" w:color="CFF0FC"/>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14,364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14,640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(5,278)</w:t>
            </w:r>
          </w:p>
        </w:tc>
      </w:tr>
      <w:tr>
        <w:trPr>
          <w:trHeight w:val="189"/>
        </w:trPr>
        <w:tc>
          <w:tcPr>
            <w:tcW w:w="5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1,063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1,540</w:t>
            </w:r>
          </w:p>
        </w:tc>
        <w:tc>
          <w:tcPr>
            <w:tcW w:w="100" w:type="dxa"/>
            <w:vAlign w:val="bottom"/>
            <w:shd w:val="clear" w:color="auto" w:fill="CFF0FC"/>
          </w:tcPr>
          <w:p>
            <w:pPr>
              <w:spacing w:after="0"/>
              <w:rPr>
                <w:sz w:val="16"/>
                <w:szCs w:val="16"/>
                <w:color w:val="auto"/>
              </w:rPr>
            </w:pPr>
          </w:p>
        </w:tc>
      </w:tr>
      <w:tr>
        <w:trPr>
          <w:trHeight w:val="189"/>
        </w:trPr>
        <w:tc>
          <w:tcPr>
            <w:tcW w:w="5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(423)</w:t>
            </w:r>
          </w:p>
        </w:tc>
      </w:tr>
      <w:tr>
        <w:trPr>
          <w:trHeight w:val="189"/>
        </w:trPr>
        <w:tc>
          <w:tcPr>
            <w:tcW w:w="5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Foreign currency loss, net</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(405)</w:t>
            </w:r>
          </w:p>
        </w:tc>
      </w:tr>
      <w:tr>
        <w:trPr>
          <w:trHeight w:val="189"/>
        </w:trPr>
        <w:tc>
          <w:tcPr>
            <w:tcW w:w="5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income (loss), net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from continuing operations before income tax benefit, net</w:t>
            </w: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(6,605)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(4,452)</w:t>
            </w: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net</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(401)</w:t>
            </w:r>
          </w:p>
        </w:tc>
      </w:tr>
      <w:tr>
        <w:trPr>
          <w:trHeight w:val="20"/>
        </w:trPr>
        <w:tc>
          <w:tcPr>
            <w:tcW w:w="5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(4,697)</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(4,051)</w:t>
            </w: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(4,827)</w:t>
            </w:r>
          </w:p>
        </w:tc>
      </w:tr>
      <w:tr>
        <w:trPr>
          <w:trHeight w:val="20"/>
        </w:trPr>
        <w:tc>
          <w:tcPr>
            <w:tcW w:w="5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(4,647)</w:t>
            </w:r>
          </w:p>
        </w:tc>
        <w:tc>
          <w:tcPr>
            <w:tcW w:w="32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(8,878)</w:t>
            </w:r>
          </w:p>
        </w:tc>
      </w:tr>
      <w:tr>
        <w:trPr>
          <w:trHeight w:val="169"/>
        </w:trPr>
        <w:tc>
          <w:tcPr>
            <w:tcW w:w="562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Basic earnings (loss) per common share—</w:t>
            </w:r>
          </w:p>
        </w:tc>
        <w:tc>
          <w:tcPr>
            <w:tcW w:w="10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5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Continuing operations</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(0.11)</w:t>
            </w:r>
          </w:p>
        </w:tc>
      </w:tr>
      <w:tr>
        <w:trPr>
          <w:trHeight w:val="189"/>
        </w:trPr>
        <w:tc>
          <w:tcPr>
            <w:tcW w:w="5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Discontinued operations</w:t>
            </w:r>
          </w:p>
        </w:tc>
        <w:tc>
          <w:tcPr>
            <w:tcW w:w="1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6"/>
                <w:szCs w:val="16"/>
                <w:color w:val="auto"/>
              </w:rPr>
            </w:pPr>
          </w:p>
        </w:tc>
        <w:tc>
          <w:tcPr>
            <w:tcW w:w="32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(0.13)</w:t>
            </w:r>
          </w:p>
        </w:tc>
      </w:tr>
      <w:tr>
        <w:trPr>
          <w:trHeight w:val="189"/>
        </w:trPr>
        <w:tc>
          <w:tcPr>
            <w:tcW w:w="562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(0.24)</w:t>
            </w: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Diluted earnings (loss) per common share—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Continuing operations</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(0.11)</w:t>
            </w:r>
          </w:p>
        </w:tc>
      </w:tr>
      <w:tr>
        <w:trPr>
          <w:trHeight w:val="189"/>
        </w:trPr>
        <w:tc>
          <w:tcPr>
            <w:tcW w:w="5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Discontinued operations</w:t>
            </w:r>
          </w:p>
        </w:tc>
        <w:tc>
          <w:tcPr>
            <w:tcW w:w="1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6"/>
                <w:szCs w:val="16"/>
                <w:color w:val="auto"/>
              </w:rPr>
            </w:pPr>
          </w:p>
        </w:tc>
        <w:tc>
          <w:tcPr>
            <w:tcW w:w="32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(0.13)</w:t>
            </w:r>
          </w:p>
        </w:tc>
      </w:tr>
      <w:tr>
        <w:trPr>
          <w:trHeight w:val="189"/>
        </w:trPr>
        <w:tc>
          <w:tcPr>
            <w:tcW w:w="562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(0.24)</w:t>
            </w:r>
          </w:p>
        </w:tc>
      </w:tr>
      <w:tr>
        <w:trPr>
          <w:trHeight w:val="189"/>
        </w:trPr>
        <w:tc>
          <w:tcPr>
            <w:tcW w:w="5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36,407,581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36,887,841</w:t>
            </w:r>
          </w:p>
        </w:tc>
        <w:tc>
          <w:tcPr>
            <w:tcW w:w="100" w:type="dxa"/>
            <w:vAlign w:val="bottom"/>
            <w:shd w:val="clear" w:color="auto" w:fill="CFF0FC"/>
          </w:tcPr>
          <w:p>
            <w:pPr>
              <w:spacing w:after="0"/>
              <w:rPr>
                <w:sz w:val="16"/>
                <w:szCs w:val="16"/>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36,407,581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36,887,841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-2608580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-2608580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-1374140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-1356995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-1374140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-1356995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6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240" w:type="dxa"/>
            <w:vAlign w:val="bottom"/>
            <w:gridSpan w:val="2"/>
            <w:vMerge w:val="continue"/>
          </w:tcPr>
          <w:p>
            <w:pPr>
              <w:spacing w:after="0"/>
              <w:rPr>
                <w:sz w:val="12"/>
                <w:szCs w:val="12"/>
                <w:color w:val="auto"/>
              </w:rPr>
            </w:pPr>
          </w:p>
        </w:tc>
        <w:tc>
          <w:tcPr>
            <w:tcW w:w="1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(4,647)</w:t>
            </w:r>
          </w:p>
        </w:tc>
        <w:tc>
          <w:tcPr>
            <w:tcW w:w="320" w:type="dxa"/>
            <w:vAlign w:val="bottom"/>
            <w:gridSpan w:val="2"/>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189"/>
        </w:trPr>
        <w:tc>
          <w:tcPr>
            <w:tcW w:w="6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Derivative adjustments</w:t>
            </w:r>
          </w:p>
        </w:tc>
        <w:tc>
          <w:tcPr>
            <w:tcW w:w="220" w:type="dxa"/>
            <w:vAlign w:val="bottom"/>
          </w:tcPr>
          <w:p>
            <w:pPr>
              <w:spacing w:after="0"/>
              <w:rPr>
                <w:sz w:val="16"/>
                <w:szCs w:val="16"/>
                <w:color w:val="auto"/>
              </w:rPr>
            </w:pPr>
          </w:p>
        </w:tc>
        <w:tc>
          <w:tcPr>
            <w:tcW w:w="1280" w:type="dxa"/>
            <w:vAlign w:val="bottom"/>
            <w:gridSpan w:val="2"/>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(11,443)</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(16,090)</w:t>
            </w:r>
          </w:p>
        </w:tc>
        <w:tc>
          <w:tcPr>
            <w:tcW w:w="3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-153670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-153670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of U.S. dollars, except</w:t>
            </w: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8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36,219,100</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281,537</w:t>
            </w:r>
          </w:p>
        </w:tc>
        <w:tc>
          <w:tcPr>
            <w:tcW w:w="1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214,852</w:t>
            </w: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(229,910)</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(18,808)</w:t>
            </w:r>
          </w:p>
        </w:tc>
        <w:tc>
          <w:tcPr>
            <w:tcW w:w="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Settlement of restricted stock units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221,754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comprehensive loss, net</w:t>
            </w:r>
          </w:p>
        </w:tc>
        <w:tc>
          <w:tcPr>
            <w:tcW w:w="10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(11,443)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(11,443)</w:t>
            </w:r>
          </w:p>
        </w:tc>
        <w:tc>
          <w:tcPr>
            <w:tcW w:w="0" w:type="dxa"/>
            <w:vAlign w:val="bottom"/>
          </w:tcPr>
          <w:p>
            <w:pPr>
              <w:spacing w:after="0"/>
              <w:rPr>
                <w:sz w:val="1"/>
                <w:szCs w:val="1"/>
                <w:color w:val="auto"/>
              </w:rPr>
            </w:pPr>
          </w:p>
        </w:tc>
      </w:tr>
      <w:tr>
        <w:trPr>
          <w:trHeight w:val="148"/>
        </w:trPr>
        <w:tc>
          <w:tcPr>
            <w:tcW w:w="26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(4,647)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36,440,854</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282,178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210,205</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(229,910)</w:t>
            </w: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(30,251)</w:t>
            </w:r>
          </w:p>
        </w:tc>
        <w:tc>
          <w:tcPr>
            <w:tcW w:w="2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232,803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680" w:type="dxa"/>
            <w:vAlign w:val="bottom"/>
            <w:tcBorders>
              <w:top w:val="single" w:sz="8" w:color="CFF0FC"/>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36,912,118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279,423</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244,576</w:t>
            </w:r>
          </w:p>
        </w:tc>
        <w:tc>
          <w:tcPr>
            <w:tcW w:w="12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(225,883)</w:t>
            </w:r>
          </w:p>
        </w:tc>
        <w:tc>
          <w:tcPr>
            <w:tcW w:w="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(21,893)</w:t>
            </w:r>
          </w:p>
        </w:tc>
        <w:tc>
          <w:tcPr>
            <w:tcW w:w="2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276,797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Settlement of restricted stock units</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72,962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6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(309,291)</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148"/>
        </w:trPr>
        <w:tc>
          <w:tcPr>
            <w:tcW w:w="2680" w:type="dxa"/>
            <w:vAlign w:val="bottom"/>
            <w:gridSpan w:val="2"/>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comprehensive income, net</w:t>
            </w:r>
          </w:p>
        </w:tc>
        <w:tc>
          <w:tcPr>
            <w:tcW w:w="10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(8,878)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36,675,789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575</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280,452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235,698</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(227,047)</w:t>
            </w:r>
          </w:p>
        </w:tc>
        <w:tc>
          <w:tcPr>
            <w:tcW w:w="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(20,477)</w:t>
            </w:r>
          </w:p>
        </w:tc>
        <w:tc>
          <w:tcPr>
            <w:tcW w:w="2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269,201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-814070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-796925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-814070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-796925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-814070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-796925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-814070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-796925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-814070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-796925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-814070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-796925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-814070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-796925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-25400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-8255</wp:posOffset>
            </wp:positionV>
            <wp:extent cx="59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-25400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-8255</wp:posOffset>
            </wp:positionV>
            <wp:extent cx="603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-25400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-8255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-25400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-8255</wp:posOffset>
            </wp:positionV>
            <wp:extent cx="60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-25400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-8255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-25400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5462905</wp:posOffset>
            </wp:positionH>
            <wp:positionV relativeFrom="paragraph">
              <wp:posOffset>-8255</wp:posOffset>
            </wp:positionV>
            <wp:extent cx="59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2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7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gridSpan w:val="2"/>
            <w:vMerge w:val="continue"/>
          </w:tcPr>
          <w:p>
            <w:pPr>
              <w:spacing w:after="0"/>
              <w:rPr>
                <w:sz w:val="12"/>
                <w:szCs w:val="12"/>
                <w:color w:val="auto"/>
              </w:rPr>
            </w:pPr>
          </w:p>
        </w:tc>
        <w:tc>
          <w:tcPr>
            <w:tcW w:w="1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Net loss</w:t>
            </w:r>
          </w:p>
        </w:tc>
        <w:tc>
          <w:tcPr>
            <w:tcW w:w="6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(4,647)</w:t>
            </w:r>
          </w:p>
        </w:tc>
        <w:tc>
          <w:tcPr>
            <w:tcW w:w="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(8,878)</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Adjustments to reconcile net loss to net cash provided by (used in) operating activities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2,882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3,273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Provision for severance benefits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1,212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1,514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Loss (gain) on foreign currency, net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4,262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Provision (reversal) for inventory reserves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1,208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643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Deferred income taxes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Others, net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Accounts receivable, net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635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Inventories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(3,259)</w:t>
            </w:r>
          </w:p>
        </w:tc>
        <w:tc>
          <w:tcPr>
            <w:tcW w:w="0" w:type="dxa"/>
            <w:vAlign w:val="bottom"/>
          </w:tcPr>
          <w:p>
            <w:pPr>
              <w:spacing w:after="0"/>
              <w:rPr>
                <w:sz w:val="1"/>
                <w:szCs w:val="1"/>
                <w:color w:val="auto"/>
              </w:rPr>
            </w:pPr>
          </w:p>
        </w:tc>
      </w:tr>
      <w:tr>
        <w:trPr>
          <w:trHeight w:val="176"/>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 receivables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(1,547)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(811)</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Prepaid expenses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1,233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 current assets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(1,725)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970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Accounts payable</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571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2,542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 accounts payable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(2,622)</w:t>
            </w: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Accrued expenses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(1,068)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Accrued income taxes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 current liabilities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593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(901)</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 non-current liabilities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354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Payment of severance benefits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(228)</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Others, net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7"/>
                <w:szCs w:val="17"/>
                <w:color w:val="auto"/>
              </w:rPr>
              <w:t>1,556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7"/>
                <w:szCs w:val="17"/>
                <w:color w:val="auto"/>
              </w:rPr>
              <w:t>(4,669)</w:t>
            </w:r>
          </w:p>
        </w:tc>
        <w:tc>
          <w:tcPr>
            <w:tcW w:w="0" w:type="dxa"/>
            <w:vAlign w:val="bottom"/>
          </w:tcPr>
          <w:p>
            <w:pPr>
              <w:spacing w:after="0"/>
              <w:rPr>
                <w:sz w:val="1"/>
                <w:szCs w:val="1"/>
                <w:color w:val="auto"/>
              </w:rPr>
            </w:pPr>
          </w:p>
        </w:tc>
      </w:tr>
      <w:tr>
        <w:trPr>
          <w:trHeight w:val="175"/>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Payment of hedge collateral</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(3,785)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Purchase of property, plant and equipment</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(3,915)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Payment for intellectual property registration</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Collection of guarantee deposits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1,891</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Payment of guarantee deposits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8"/>
              <w:spacing w:after="0" w:line="169" w:lineRule="exact"/>
              <w:rPr>
                <w:sz w:val="20"/>
                <w:szCs w:val="20"/>
                <w:color w:val="auto"/>
              </w:rPr>
            </w:pPr>
            <w:r>
              <w:rPr>
                <w:rFonts w:ascii="Times New Roman" w:cs="Times New Roman" w:eastAsia="Times New Roman" w:hAnsi="Times New Roman"/>
                <w:sz w:val="17"/>
                <w:szCs w:val="17"/>
                <w:color w:val="auto"/>
              </w:rPr>
              <w:t>(5,942)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7"/>
                <w:szCs w:val="17"/>
                <w:color w:val="auto"/>
              </w:rPr>
              <w:t>(389)</w:t>
            </w:r>
          </w:p>
        </w:tc>
        <w:tc>
          <w:tcPr>
            <w:tcW w:w="0" w:type="dxa"/>
            <w:vAlign w:val="bottom"/>
          </w:tcPr>
          <w:p>
            <w:pPr>
              <w:spacing w:after="0"/>
              <w:rPr>
                <w:sz w:val="1"/>
                <w:szCs w:val="1"/>
                <w:color w:val="auto"/>
              </w:rPr>
            </w:pPr>
          </w:p>
        </w:tc>
      </w:tr>
      <w:tr>
        <w:trPr>
          <w:trHeight w:val="175"/>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Acquisition of treasury stock</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(1,306)</w:t>
            </w:r>
          </w:p>
        </w:tc>
        <w:tc>
          <w:tcPr>
            <w:tcW w:w="0" w:type="dxa"/>
            <w:vAlign w:val="bottom"/>
          </w:tcPr>
          <w:p>
            <w:pPr>
              <w:spacing w:after="0"/>
              <w:rPr>
                <w:sz w:val="1"/>
                <w:szCs w:val="1"/>
                <w:color w:val="auto"/>
              </w:rPr>
            </w:pPr>
          </w:p>
        </w:tc>
      </w:tr>
      <w:tr>
        <w:trPr>
          <w:trHeight w:val="175"/>
        </w:trPr>
        <w:tc>
          <w:tcPr>
            <w:tcW w:w="630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Repayment of financing related to water treatment facility arrangement</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ind w:left="180"/>
              <w:spacing w:after="0" w:line="176" w:lineRule="exact"/>
              <w:rPr>
                <w:sz w:val="20"/>
                <w:szCs w:val="20"/>
                <w:color w:val="auto"/>
              </w:rPr>
            </w:pPr>
            <w:r>
              <w:rPr>
                <w:rFonts w:ascii="Times New Roman" w:cs="Times New Roman" w:eastAsia="Times New Roman" w:hAnsi="Times New Roman"/>
                <w:sz w:val="17"/>
                <w:szCs w:val="17"/>
                <w:color w:val="auto"/>
              </w:rPr>
              <w:t>Repayment of principal portion of finance lease liabilities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Net cash used in financing activities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8"/>
              <w:spacing w:after="0" w:line="169" w:lineRule="exact"/>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7"/>
                <w:szCs w:val="17"/>
                <w:color w:val="auto"/>
              </w:rPr>
              <w:t>(1,455)</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(4,496)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557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Net decrease in cash and cash equivalents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8"/>
              <w:spacing w:after="0" w:line="169" w:lineRule="exact"/>
              <w:rPr>
                <w:sz w:val="20"/>
                <w:szCs w:val="20"/>
                <w:color w:val="auto"/>
              </w:rPr>
            </w:pPr>
            <w:r>
              <w:rPr>
                <w:rFonts w:ascii="Times New Roman" w:cs="Times New Roman" w:eastAsia="Times New Roman" w:hAnsi="Times New Roman"/>
                <w:sz w:val="17"/>
                <w:szCs w:val="17"/>
                <w:color w:val="auto"/>
              </w:rPr>
              <w:t>(9,202)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7"/>
                <w:szCs w:val="17"/>
                <w:color w:val="auto"/>
              </w:rPr>
              <w:t>(5,956)</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103,756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138,610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7"/>
                <w:szCs w:val="17"/>
                <w:color w:val="auto"/>
              </w:rPr>
              <w:t>Cash and cash equivalents at end of period</w:t>
            </w:r>
          </w:p>
        </w:tc>
        <w:tc>
          <w:tcPr>
            <w:tcW w:w="600" w:type="dxa"/>
            <w:vAlign w:val="bottom"/>
            <w:gridSpan w:val="2"/>
            <w:shd w:val="clear" w:color="auto" w:fill="CFF0FC"/>
          </w:tcPr>
          <w:p>
            <w:pPr>
              <w:jc w:val="right"/>
              <w:ind w:right="120"/>
              <w:spacing w:after="0" w:line="169"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7"/>
                <w:szCs w:val="17"/>
                <w:color w:val="auto"/>
              </w:rPr>
              <w:t>94,554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line="169"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7"/>
                <w:szCs w:val="17"/>
                <w:color w:val="auto"/>
              </w:rPr>
              <w:t>132,654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3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3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color w:val="auto"/>
              </w:rPr>
              <w:t>Cash paid for interest on long-term borrowings</w:t>
            </w:r>
          </w:p>
        </w:tc>
        <w:tc>
          <w:tcPr>
            <w:tcW w:w="600" w:type="dxa"/>
            <w:vAlign w:val="bottom"/>
            <w:gridSpan w:val="2"/>
            <w:shd w:val="clear" w:color="auto" w:fill="CFF0FC"/>
          </w:tcPr>
          <w:p>
            <w:pPr>
              <w:jc w:val="right"/>
              <w:ind w:right="1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384</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ind w:lef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Cash refunded for income taxes</w:t>
            </w:r>
          </w:p>
        </w:tc>
        <w:tc>
          <w:tcPr>
            <w:tcW w:w="6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8"/>
              <w:spacing w:after="0" w:line="176" w:lineRule="exact"/>
              <w:rPr>
                <w:sz w:val="20"/>
                <w:szCs w:val="20"/>
                <w:color w:val="auto"/>
              </w:rPr>
            </w:pPr>
            <w:r>
              <w:rPr>
                <w:rFonts w:ascii="Times New Roman" w:cs="Times New Roman" w:eastAsia="Times New Roman" w:hAnsi="Times New Roman"/>
                <w:sz w:val="17"/>
                <w:szCs w:val="17"/>
                <w:color w:val="auto"/>
              </w:rPr>
              <w:t>(42)</w:t>
            </w:r>
          </w:p>
        </w:tc>
        <w:tc>
          <w:tcPr>
            <w:tcW w:w="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
              <w:spacing w:after="0" w:line="176" w:lineRule="exact"/>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Non-cash investing activities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Property, plant and equipment additions in other accounts payable</w:t>
            </w:r>
          </w:p>
        </w:tc>
        <w:tc>
          <w:tcPr>
            <w:tcW w:w="6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1,292</w:t>
            </w:r>
          </w:p>
        </w:tc>
        <w:tc>
          <w:tcPr>
            <w:tcW w:w="140" w:type="dxa"/>
            <w:vAlign w:val="bottom"/>
          </w:tcPr>
          <w:p>
            <w:pPr>
              <w:spacing w:after="0"/>
              <w:rPr>
                <w:sz w:val="15"/>
                <w:szCs w:val="15"/>
                <w:color w:val="auto"/>
              </w:rPr>
            </w:pPr>
          </w:p>
        </w:tc>
        <w:tc>
          <w:tcPr>
            <w:tcW w:w="3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Non-cash financing activities</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Unsettled common stock repurchases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-1529080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-1529080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-1297940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-1297940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-835025</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-817880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-835025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-817880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09" w:lineRule="exact"/>
        <w:rPr>
          <w:sz w:val="20"/>
          <w:szCs w:val="20"/>
          <w:color w:val="auto"/>
        </w:rPr>
      </w:pPr>
    </w:p>
    <w:p>
      <w:pPr>
        <w:ind w:right="4420" w:firstLine="4"/>
        <w:spacing w:after="0" w:line="362"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Basis of Presentation and Significant Accounting Policies </w:t>
      </w:r>
      <w:r>
        <w:rPr>
          <w:rFonts w:ascii="Times New Roman" w:cs="Times New Roman" w:eastAsia="Times New Roman" w:hAnsi="Times New Roman"/>
          <w:sz w:val="18"/>
          <w:szCs w:val="18"/>
          <w:b w:val="1"/>
          <w:bCs w:val="1"/>
          <w:i w:val="1"/>
          <w:iCs w:val="1"/>
          <w:color w:val="auto"/>
        </w:rPr>
        <w:t>Business</w:t>
      </w:r>
    </w:p>
    <w:p>
      <w:pPr>
        <w:spacing w:after="0" w:line="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Magnachip Semiconductor Corporation (together with its subsidiaries, the “Company”) is a designer and manufacturer of analog and mixed-signal power semiconductor platform solutions for various applications, including industrial, automotive, communication, consumer and computing.</w:t>
      </w:r>
    </w:p>
    <w:p>
      <w:pPr>
        <w:spacing w:after="0" w:line="169" w:lineRule="exact"/>
        <w:rPr>
          <w:sz w:val="20"/>
          <w:szCs w:val="20"/>
          <w:color w:val="auto"/>
        </w:rPr>
      </w:pPr>
    </w:p>
    <w:p>
      <w:pPr>
        <w:ind w:right="40" w:firstLine="441"/>
        <w:spacing w:after="0" w:line="243" w:lineRule="auto"/>
        <w:rPr>
          <w:sz w:val="20"/>
          <w:szCs w:val="20"/>
          <w:color w:val="auto"/>
        </w:rPr>
      </w:pPr>
      <w:r>
        <w:rPr>
          <w:rFonts w:ascii="Times New Roman" w:cs="Times New Roman" w:eastAsia="Times New Roman" w:hAnsi="Times New Roman"/>
          <w:sz w:val="18"/>
          <w:szCs w:val="18"/>
          <w:color w:val="auto"/>
        </w:rPr>
        <w:t>The Company develops and manufactures Power discrete (“Power Analog Solutions”) products and develops Power integrated circuit (“IC”) products. Power Analog Solutions products include metal oxide semiconductor field effect transistors (“MOSFETs”) and insulated-gate bipolar transistors (“IGBTs”) for a range of devices, including televisions, smartphones, mobile phones, wearable devices, desktop personal computers (“PCs”), notebook PCs, tablet PCs, home appliance, other consumer electronics, automotive and industrial applications such as power suppliers, e-bikes, photovoltaic inverters, LED lighting and motor drives. Power IC products include AC-DC/DC-DC converters, LED drivers, regulators, power management integrated circuits (“PMICs”) and level shifter for a range of devices, including televisions, wearable devices, notebooks, tablet PCs and other consumer electronics, as well as automotive applications.</w:t>
      </w:r>
    </w:p>
    <w:p>
      <w:pPr>
        <w:spacing w:after="0" w:line="200" w:lineRule="exact"/>
        <w:rPr>
          <w:sz w:val="20"/>
          <w:szCs w:val="20"/>
          <w:color w:val="auto"/>
        </w:rPr>
      </w:pPr>
    </w:p>
    <w:p>
      <w:pPr>
        <w:ind w:right="40" w:firstLine="441"/>
        <w:spacing w:after="0" w:line="246" w:lineRule="auto"/>
        <w:rPr>
          <w:sz w:val="20"/>
          <w:szCs w:val="20"/>
          <w:color w:val="auto"/>
        </w:rPr>
      </w:pPr>
      <w:r>
        <w:rPr>
          <w:rFonts w:ascii="Times New Roman" w:cs="Times New Roman" w:eastAsia="Times New Roman" w:hAnsi="Times New Roman"/>
          <w:sz w:val="18"/>
          <w:szCs w:val="18"/>
          <w:color w:val="auto"/>
        </w:rPr>
        <w:t>In 2024, the Power IC business was operated by Magnachip Mixed-Signal, Ltd. (“MMS”), which later transferred the business to Magnachip Semiconductor, Ltd. (“MSK”) effective January 1, 2025, pursuant to an intercompany business transfer agreement executed between MMS and MSK. The transfer was based on the mutual understanding that consolidating the Power Analog Solutions and Power IC businesses under a single company would create a more effective framework for expanding and strengthening the Company’s business for Power products.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441"/>
        <w:spacing w:after="0" w:line="24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w:t>
      </w:r>
    </w:p>
    <w:p>
      <w:pPr>
        <w:spacing w:after="0" w:line="200" w:lineRule="exact"/>
        <w:rPr>
          <w:sz w:val="20"/>
          <w:szCs w:val="20"/>
          <w:color w:val="auto"/>
        </w:rPr>
      </w:pPr>
    </w:p>
    <w:p>
      <w:pPr>
        <w:ind w:right="140" w:firstLine="441"/>
        <w:spacing w:after="0" w:line="250" w:lineRule="auto"/>
        <w:rPr>
          <w:sz w:val="20"/>
          <w:szCs w:val="20"/>
          <w:color w:val="auto"/>
        </w:rPr>
      </w:pPr>
      <w:r>
        <w:rPr>
          <w:rFonts w:ascii="Times New Roman" w:cs="Times New Roman" w:eastAsia="Times New Roman" w:hAnsi="Times New Roman"/>
          <w:sz w:val="18"/>
          <w:szCs w:val="18"/>
          <w:color w:val="auto"/>
        </w:rPr>
        <w:t>The December 31, 2025 balance sheet data was derived from the Company’s audited financial statements, but does not include all disclosures required by U.S. GAAP. The interim consolidated financial statements should be read in conjunction with the Company’s Annual Report on Form 10-K for the fiscal year ended December 31, 2025.</w:t>
      </w:r>
    </w:p>
    <w:p>
      <w:pPr>
        <w:spacing w:after="0" w:line="190" w:lineRule="exact"/>
        <w:rPr>
          <w:sz w:val="20"/>
          <w:szCs w:val="20"/>
          <w:color w:val="auto"/>
        </w:rPr>
      </w:pPr>
    </w:p>
    <w:p>
      <w:pPr>
        <w:ind w:right="160" w:firstLine="441"/>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of and for the three months ended March 31, 2026 as compared to the significant accounting policies described in the Company’s Annual Report on Form 10-K for the fiscal year ended December 31,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08" w:lineRule="exact"/>
        <w:rPr>
          <w:sz w:val="20"/>
          <w:szCs w:val="20"/>
          <w:color w:val="auto"/>
        </w:rPr>
      </w:pPr>
    </w:p>
    <w:p>
      <w:pPr>
        <w:ind w:right="60" w:firstLine="441"/>
        <w:spacing w:after="0" w:line="242"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“Income Statement - Reporting Comprehensive Income - Expense Disaggregation Disclosures (Subtopic 220-40): Disaggregation of Income Statement Expenses” (“ASU 2024-03”). Additionally, in January 2025, the FASB issued ASU 2025-01 to clarify the effective date of ASU 2024-03. ASU 2024-03 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w:t>
      </w:r>
    </w:p>
    <w:p>
      <w:pPr>
        <w:sectPr>
          <w:pgSz w:w="11900" w:h="16838" w:orient="portrait"/>
          <w:cols w:equalWidth="0" w:num="1">
            <w:col w:w="9720"/>
          </w:cols>
          <w:pgMar w:left="1080" w:top="117" w:right="109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490855</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1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 March 7, 2025, the Company’s Board of Directors authorized a strategy to transition to a pure-play Power company,</w:t>
      </w:r>
    </w:p>
    <w:p>
      <w:pPr>
        <w:spacing w:after="0" w:line="16" w:lineRule="exact"/>
        <w:rPr>
          <w:sz w:val="20"/>
          <w:szCs w:val="20"/>
          <w:color w:val="auto"/>
        </w:rPr>
      </w:pPr>
    </w:p>
    <w:p>
      <w:pPr>
        <w:ind w:left="660" w:right="840"/>
        <w:spacing w:after="0" w:line="242" w:lineRule="auto"/>
        <w:rPr>
          <w:sz w:val="20"/>
          <w:szCs w:val="20"/>
          <w:color w:val="auto"/>
        </w:rPr>
      </w:pPr>
      <w:r>
        <w:rPr>
          <w:rFonts w:ascii="Times New Roman" w:cs="Times New Roman" w:eastAsia="Times New Roman" w:hAnsi="Times New Roman"/>
          <w:sz w:val="18"/>
          <w:szCs w:val="18"/>
          <w:color w:val="auto"/>
        </w:rPr>
        <w:t>focusing future investments on the Power Analog Solutions and Power IC businesses. In connection with this strategy, the Company evaluated various strategic alternatives for its Display business, including a sale, merger, joint venture, licensing, or wind-down; however, the Company was unable to complete a transaction on terms that the Company’s Board of Directors believed were in the best interests of the Company and its stockholders.</w:t>
      </w:r>
    </w:p>
    <w:p>
      <w:pPr>
        <w:spacing w:after="0" w:line="198" w:lineRule="exact"/>
        <w:rPr>
          <w:sz w:val="20"/>
          <w:szCs w:val="20"/>
          <w:color w:val="auto"/>
        </w:rPr>
      </w:pPr>
    </w:p>
    <w:p>
      <w:pPr>
        <w:ind w:left="660" w:right="680" w:firstLine="441"/>
        <w:spacing w:after="0" w:line="250" w:lineRule="auto"/>
        <w:rPr>
          <w:sz w:val="20"/>
          <w:szCs w:val="20"/>
          <w:color w:val="auto"/>
        </w:rPr>
      </w:pPr>
      <w:r>
        <w:rPr>
          <w:rFonts w:ascii="Times New Roman" w:cs="Times New Roman" w:eastAsia="Times New Roman" w:hAnsi="Times New Roman"/>
          <w:sz w:val="18"/>
          <w:szCs w:val="18"/>
          <w:color w:val="auto"/>
        </w:rPr>
        <w:t>Accordingly, on April 6, 2025, the Company’s Board of Directors unanimously approved the decision to shut down the Company’s Display business (the “Discontinued Business”), including the liquidation of MMS, the Company’s indirect wholly owned subsidiary that operated the Display business. As a result, the Display business qualifies as a discontinued operation in accordance with ASC 205-20.</w:t>
      </w:r>
    </w:p>
    <w:p>
      <w:pPr>
        <w:spacing w:after="0" w:line="177" w:lineRule="exact"/>
        <w:rPr>
          <w:sz w:val="20"/>
          <w:szCs w:val="20"/>
          <w:color w:val="auto"/>
        </w:rPr>
      </w:pPr>
    </w:p>
    <w:p>
      <w:pPr>
        <w:ind w:left="660" w:right="70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results from discontinued operations, net of tax, for the three months ended March 31, 2026 and 2025 (in thousands):</w:t>
      </w:r>
    </w:p>
    <w:p>
      <w:pPr>
        <w:spacing w:after="0" w:line="156" w:lineRule="exact"/>
        <w:rPr>
          <w:sz w:val="20"/>
          <w:szCs w:val="20"/>
          <w:color w:val="auto"/>
        </w:rPr>
      </w:pPr>
    </w:p>
    <w:tbl>
      <w:tblPr>
        <w:tblLayout w:type="fixed"/>
        <w:tblInd w:w="212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r>
      <w:tr>
        <w:trPr>
          <w:trHeight w:val="173"/>
        </w:trPr>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1,646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9,556</w:t>
            </w:r>
          </w:p>
        </w:tc>
        <w:tc>
          <w:tcPr>
            <w:tcW w:w="8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1,154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6,439</w:t>
            </w:r>
          </w:p>
        </w:tc>
        <w:tc>
          <w:tcPr>
            <w:tcW w:w="80" w:type="dxa"/>
            <w:vAlign w:val="bottom"/>
          </w:tcPr>
          <w:p>
            <w:pPr>
              <w:spacing w:after="0"/>
              <w:rPr>
                <w:sz w:val="16"/>
                <w:szCs w:val="16"/>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492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3,117</w:t>
            </w:r>
          </w:p>
        </w:tc>
        <w:tc>
          <w:tcPr>
            <w:tcW w:w="8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1,543</w:t>
            </w:r>
          </w:p>
        </w:tc>
        <w:tc>
          <w:tcPr>
            <w:tcW w:w="80" w:type="dxa"/>
            <w:vAlign w:val="bottom"/>
            <w:shd w:val="clear" w:color="auto" w:fill="CFF0FC"/>
          </w:tcPr>
          <w:p>
            <w:pPr>
              <w:spacing w:after="0"/>
              <w:rPr>
                <w:sz w:val="16"/>
                <w:szCs w:val="16"/>
                <w:color w:val="auto"/>
              </w:rPr>
            </w:pPr>
          </w:p>
        </w:tc>
      </w:tr>
      <w:tr>
        <w:trPr>
          <w:trHeight w:val="189"/>
        </w:trPr>
        <w:tc>
          <w:tcPr>
            <w:tcW w:w="46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6,281</w:t>
            </w:r>
          </w:p>
        </w:tc>
        <w:tc>
          <w:tcPr>
            <w:tcW w:w="80" w:type="dxa"/>
            <w:vAlign w:val="bottom"/>
          </w:tcPr>
          <w:p>
            <w:pPr>
              <w:spacing w:after="0"/>
              <w:rPr>
                <w:sz w:val="16"/>
                <w:szCs w:val="16"/>
                <w:color w:val="auto"/>
              </w:rPr>
            </w:pP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charges</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FF0FC"/>
          </w:tcPr>
          <w:p>
            <w:pPr>
              <w:spacing w:after="0"/>
              <w:rPr>
                <w:sz w:val="16"/>
                <w:szCs w:val="16"/>
                <w:color w:val="auto"/>
              </w:rPr>
            </w:pPr>
          </w:p>
        </w:tc>
      </w:tr>
      <w:tr>
        <w:trPr>
          <w:trHeight w:val="182"/>
        </w:trPr>
        <w:tc>
          <w:tcPr>
            <w:tcW w:w="4600" w:type="dxa"/>
            <w:vAlign w:val="bottom"/>
            <w:tcBorders>
              <w:top w:val="single" w:sz="8" w:color="CFF0FC"/>
            </w:tcBorders>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7,951</w:t>
            </w:r>
          </w:p>
        </w:tc>
        <w:tc>
          <w:tcPr>
            <w:tcW w:w="80" w:type="dxa"/>
            <w:vAlign w:val="bottom"/>
            <w:tcBorders>
              <w:top w:val="single" w:sz="8" w:color="CFF0FC"/>
            </w:tcBorders>
          </w:tcPr>
          <w:p>
            <w:pPr>
              <w:spacing w:after="0"/>
              <w:rPr>
                <w:sz w:val="15"/>
                <w:szCs w:val="15"/>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income (loss) from discontinued operations</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(4,834)</w:t>
            </w:r>
          </w:p>
        </w:tc>
      </w:tr>
      <w:tr>
        <w:trPr>
          <w:trHeight w:val="189"/>
        </w:trPr>
        <w:tc>
          <w:tcPr>
            <w:tcW w:w="46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6"/>
                <w:szCs w:val="16"/>
                <w:color w:val="auto"/>
              </w:rPr>
            </w:pP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(120)</w:t>
            </w:r>
          </w:p>
        </w:tc>
      </w:tr>
      <w:tr>
        <w:trPr>
          <w:trHeight w:val="189"/>
        </w:trPr>
        <w:tc>
          <w:tcPr>
            <w:tcW w:w="46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Foreign currency gain (loss), net</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1"/>
        </w:trPr>
        <w:tc>
          <w:tcPr>
            <w:tcW w:w="4600" w:type="dxa"/>
            <w:vAlign w:val="bottom"/>
            <w:tcBorders>
              <w:top w:val="single" w:sz="8" w:color="CFF0FC"/>
            </w:tcBorders>
          </w:tcPr>
          <w:p>
            <w:pPr>
              <w:spacing w:after="0" w:line="150" w:lineRule="exact"/>
              <w:rPr>
                <w:sz w:val="20"/>
                <w:szCs w:val="20"/>
                <w:color w:val="auto"/>
              </w:rPr>
            </w:pPr>
            <w:r>
              <w:rPr>
                <w:rFonts w:ascii="Times New Roman" w:cs="Times New Roman" w:eastAsia="Times New Roman" w:hAnsi="Times New Roman"/>
                <w:sz w:val="17"/>
                <w:szCs w:val="17"/>
                <w:color w:val="auto"/>
              </w:rPr>
              <w:t>Income (Loss) from discontinued operations before income</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221"/>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expense, net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(4,827)</w:t>
            </w:r>
          </w:p>
        </w:tc>
      </w:tr>
      <w:tr>
        <w:trPr>
          <w:trHeight w:val="189"/>
        </w:trPr>
        <w:tc>
          <w:tcPr>
            <w:tcW w:w="46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 net</w:t>
            </w: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4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(4,827)</w:t>
            </w: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-1259205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-1259205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-521970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-521970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-153670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-153670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660" w:right="88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of the discontinued operations that were included in the consolidated balance sheets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0"/>
        </w:trPr>
        <w:tc>
          <w:tcPr>
            <w:tcW w:w="2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5"/>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120" w:type="dxa"/>
            <w:vAlign w:val="bottom"/>
          </w:tcPr>
          <w:p>
            <w:pPr>
              <w:spacing w:after="0"/>
              <w:rPr>
                <w:sz w:val="13"/>
                <w:szCs w:val="13"/>
                <w:color w:val="auto"/>
              </w:rPr>
            </w:pPr>
          </w:p>
        </w:tc>
      </w:tr>
      <w:tr>
        <w:trPr>
          <w:trHeight w:val="183"/>
        </w:trPr>
        <w:tc>
          <w:tcPr>
            <w:tcW w:w="2120" w:type="dxa"/>
            <w:vAlign w:val="bottom"/>
          </w:tcPr>
          <w:p>
            <w:pPr>
              <w:spacing w:after="0"/>
              <w:rPr>
                <w:sz w:val="15"/>
                <w:szCs w:val="15"/>
                <w:color w:val="auto"/>
              </w:rPr>
            </w:pPr>
          </w:p>
        </w:tc>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Accounts receivable, net</w:t>
            </w:r>
          </w:p>
        </w:tc>
        <w:tc>
          <w:tcPr>
            <w:tcW w:w="19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1,572</w:t>
            </w:r>
          </w:p>
        </w:tc>
        <w:tc>
          <w:tcPr>
            <w:tcW w:w="38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2,689</w:t>
            </w:r>
          </w:p>
        </w:tc>
        <w:tc>
          <w:tcPr>
            <w:tcW w:w="2120" w:type="dxa"/>
            <w:vAlign w:val="bottom"/>
          </w:tcPr>
          <w:p>
            <w:pPr>
              <w:spacing w:after="0"/>
              <w:rPr>
                <w:sz w:val="15"/>
                <w:szCs w:val="15"/>
                <w:color w:val="auto"/>
              </w:rPr>
            </w:pPr>
          </w:p>
        </w:tc>
      </w:tr>
      <w:tr>
        <w:trPr>
          <w:trHeight w:val="189"/>
        </w:trPr>
        <w:tc>
          <w:tcPr>
            <w:tcW w:w="2120" w:type="dxa"/>
            <w:vAlign w:val="bottom"/>
          </w:tcPr>
          <w:p>
            <w:pPr>
              <w:spacing w:after="0"/>
              <w:rPr>
                <w:sz w:val="16"/>
                <w:szCs w:val="16"/>
                <w:color w:val="auto"/>
              </w:rPr>
            </w:pPr>
          </w:p>
        </w:tc>
        <w:tc>
          <w:tcPr>
            <w:tcW w:w="2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Inventories, net</w:t>
            </w: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2,981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2,252</w:t>
            </w:r>
          </w:p>
        </w:tc>
        <w:tc>
          <w:tcPr>
            <w:tcW w:w="2120" w:type="dxa"/>
            <w:vAlign w:val="bottom"/>
          </w:tcPr>
          <w:p>
            <w:pPr>
              <w:spacing w:after="0"/>
              <w:rPr>
                <w:sz w:val="16"/>
                <w:szCs w:val="16"/>
                <w:color w:val="auto"/>
              </w:rPr>
            </w:pPr>
          </w:p>
        </w:tc>
      </w:tr>
      <w:tr>
        <w:trPr>
          <w:trHeight w:val="189"/>
        </w:trPr>
        <w:tc>
          <w:tcPr>
            <w:tcW w:w="2120" w:type="dxa"/>
            <w:vAlign w:val="bottom"/>
          </w:tcPr>
          <w:p>
            <w:pPr>
              <w:spacing w:after="0"/>
              <w:rPr>
                <w:sz w:val="16"/>
                <w:szCs w:val="16"/>
                <w:color w:val="auto"/>
              </w:rPr>
            </w:pPr>
          </w:p>
        </w:tc>
        <w:tc>
          <w:tcPr>
            <w:tcW w:w="2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severance benefits, net</w:t>
            </w:r>
          </w:p>
        </w:tc>
        <w:tc>
          <w:tcPr>
            <w:tcW w:w="1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2120" w:type="dxa"/>
            <w:vAlign w:val="bottom"/>
          </w:tcPr>
          <w:p>
            <w:pPr>
              <w:spacing w:after="0"/>
              <w:rPr>
                <w:sz w:val="16"/>
                <w:szCs w:val="16"/>
                <w:color w:val="auto"/>
              </w:rPr>
            </w:pPr>
          </w:p>
        </w:tc>
      </w:tr>
      <w:tr>
        <w:trPr>
          <w:trHeight w:val="675"/>
        </w:trPr>
        <w:tc>
          <w:tcPr>
            <w:tcW w:w="2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49"/>
        </w:trPr>
        <w:tc>
          <w:tcPr>
            <w:tcW w:w="21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provides supplemental cash flows information related to discontinued operations (in thousands):</w:t>
      </w:r>
    </w:p>
    <w:p>
      <w:pPr>
        <w:spacing w:after="0" w:line="205" w:lineRule="exact"/>
        <w:rPr>
          <w:sz w:val="20"/>
          <w:szCs w:val="20"/>
          <w:color w:val="auto"/>
        </w:rPr>
      </w:pPr>
    </w:p>
    <w:tbl>
      <w:tblPr>
        <w:tblLayout w:type="fixed"/>
        <w:tblInd w:w="2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Significant non-cash operating activities:</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4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Provision for severance benefits</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FF0FC"/>
          </w:tcPr>
          <w:p>
            <w:pPr>
              <w:spacing w:after="0"/>
              <w:rPr>
                <w:sz w:val="16"/>
                <w:szCs w:val="16"/>
                <w:color w:val="auto"/>
              </w:rPr>
            </w:pPr>
          </w:p>
        </w:tc>
      </w:tr>
      <w:tr>
        <w:trPr>
          <w:trHeight w:val="189"/>
        </w:trPr>
        <w:tc>
          <w:tcPr>
            <w:tcW w:w="4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60" w:right="800" w:firstLine="441"/>
        <w:spacing w:after="0" w:line="250" w:lineRule="auto"/>
        <w:rPr>
          <w:sz w:val="20"/>
          <w:szCs w:val="20"/>
          <w:color w:val="auto"/>
        </w:rPr>
      </w:pPr>
      <w:r>
        <w:rPr>
          <w:rFonts w:ascii="Times New Roman" w:cs="Times New Roman" w:eastAsia="Times New Roman" w:hAnsi="Times New Roman"/>
          <w:sz w:val="18"/>
          <w:szCs w:val="18"/>
          <w:color w:val="auto"/>
        </w:rPr>
        <w:t>Although the Company has discontinued our Display business, certain limited activities remain active solely for the purpose of completing the orderly wind-down of operations and fulfilling pre-existing customer obligations, including the sale of “end of life” (“EOL”) Display products, which is being conducted by MSK. A small team has been retained exclusively to facilitate these wind-down activities.</w:t>
      </w:r>
    </w:p>
    <w:p>
      <w:pPr>
        <w:spacing w:after="0" w:line="177" w:lineRule="exact"/>
        <w:rPr>
          <w:sz w:val="20"/>
          <w:szCs w:val="20"/>
          <w:color w:val="auto"/>
        </w:rPr>
      </w:pPr>
    </w:p>
    <w:p>
      <w:pPr>
        <w:jc w:val="both"/>
        <w:ind w:left="660" w:right="980" w:firstLine="441"/>
        <w:spacing w:after="0" w:line="258" w:lineRule="auto"/>
        <w:rPr>
          <w:sz w:val="20"/>
          <w:szCs w:val="20"/>
          <w:color w:val="auto"/>
        </w:rPr>
      </w:pPr>
      <w:r>
        <w:rPr>
          <w:rFonts w:ascii="Times New Roman" w:cs="Times New Roman" w:eastAsia="Times New Roman" w:hAnsi="Times New Roman"/>
          <w:sz w:val="18"/>
          <w:szCs w:val="18"/>
          <w:color w:val="auto"/>
        </w:rPr>
        <w:t>As such, the result of these limited ongoing activities do not qualify for presentation as part of continuing operations and are instead presented as part of discontinued operations. The following table presents the revenue, gross profit and operating expenses related to the Company’s continuing involvement with the Discontinued Business for the period presented (in thousands):</w:t>
      </w:r>
    </w:p>
    <w:p>
      <w:pPr>
        <w:spacing w:after="0" w:line="150"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3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w:t>
            </w:r>
          </w:p>
        </w:tc>
      </w:tr>
      <w:tr>
        <w:trPr>
          <w:trHeight w:val="173"/>
        </w:trPr>
        <w:tc>
          <w:tcPr>
            <w:tcW w:w="3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60" w:type="dxa"/>
            <w:vAlign w:val="bottom"/>
          </w:tcPr>
          <w:p>
            <w:pPr>
              <w:spacing w:after="0"/>
              <w:rPr>
                <w:sz w:val="15"/>
                <w:szCs w:val="15"/>
                <w:color w:val="auto"/>
              </w:rPr>
            </w:pPr>
          </w:p>
        </w:tc>
      </w:tr>
      <w:tr>
        <w:trPr>
          <w:trHeight w:val="183"/>
        </w:trPr>
        <w:tc>
          <w:tcPr>
            <w:tcW w:w="3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1840" w:type="dxa"/>
            <w:vAlign w:val="bottom"/>
            <w:gridSpan w:val="2"/>
            <w:shd w:val="clear" w:color="auto" w:fill="CFF0FC"/>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1,646</w:t>
            </w:r>
          </w:p>
        </w:tc>
        <w:tc>
          <w:tcPr>
            <w:tcW w:w="60" w:type="dxa"/>
            <w:vAlign w:val="bottom"/>
            <w:shd w:val="clear" w:color="auto" w:fill="CFF0FC"/>
          </w:tcPr>
          <w:p>
            <w:pPr>
              <w:spacing w:after="0"/>
              <w:rPr>
                <w:sz w:val="15"/>
                <w:szCs w:val="15"/>
                <w:color w:val="auto"/>
              </w:rPr>
            </w:pP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1,154</w:t>
            </w:r>
          </w:p>
        </w:tc>
        <w:tc>
          <w:tcPr>
            <w:tcW w:w="60" w:type="dxa"/>
            <w:vAlign w:val="bottom"/>
          </w:tcPr>
          <w:p>
            <w:pPr>
              <w:spacing w:after="0"/>
              <w:rPr>
                <w:sz w:val="16"/>
                <w:szCs w:val="16"/>
                <w:color w:val="auto"/>
              </w:rPr>
            </w:pPr>
          </w:p>
        </w:tc>
      </w:tr>
      <w:tr>
        <w:trPr>
          <w:trHeight w:val="189"/>
        </w:trPr>
        <w:tc>
          <w:tcPr>
            <w:tcW w:w="3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247</w:t>
            </w:r>
          </w:p>
        </w:tc>
        <w:tc>
          <w:tcPr>
            <w:tcW w:w="60" w:type="dxa"/>
            <w:vAlign w:val="bottom"/>
            <w:shd w:val="clear" w:color="auto" w:fill="CFF0FC"/>
          </w:tcPr>
          <w:p>
            <w:pPr>
              <w:spacing w:after="0"/>
              <w:rPr>
                <w:sz w:val="16"/>
                <w:szCs w:val="16"/>
                <w:color w:val="auto"/>
              </w:rPr>
            </w:pPr>
          </w:p>
        </w:tc>
      </w:tr>
    </w:tbl>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Inventories as of March 31, 2026 and December 31, 2025 consist of the following (in thousands):</w:t>
      </w:r>
    </w:p>
    <w:p>
      <w:pPr>
        <w:spacing w:after="0" w:line="192" w:lineRule="exact"/>
        <w:rPr>
          <w:sz w:val="20"/>
          <w:szCs w:val="20"/>
          <w:color w:val="auto"/>
        </w:rPr>
      </w:pPr>
    </w:p>
    <w:tbl>
      <w:tblPr>
        <w:tblLayout w:type="fixed"/>
        <w:tblInd w:w="2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0"/>
        </w:trPr>
        <w:tc>
          <w:tcPr>
            <w:tcW w:w="4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8,310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7,542</w:t>
            </w:r>
          </w:p>
        </w:tc>
        <w:tc>
          <w:tcPr>
            <w:tcW w:w="8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Semi-finished goods and work-in-process</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26,447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29,245</w:t>
            </w:r>
          </w:p>
        </w:tc>
        <w:tc>
          <w:tcPr>
            <w:tcW w:w="80" w:type="dxa"/>
            <w:vAlign w:val="bottom"/>
          </w:tcPr>
          <w:p>
            <w:pPr>
              <w:spacing w:after="0"/>
              <w:rPr>
                <w:sz w:val="16"/>
                <w:szCs w:val="16"/>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4,169</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4,198</w:t>
            </w:r>
          </w:p>
        </w:tc>
        <w:tc>
          <w:tcPr>
            <w:tcW w:w="80" w:type="dxa"/>
            <w:vAlign w:val="bottom"/>
            <w:shd w:val="clear" w:color="auto" w:fill="CFF0FC"/>
          </w:tcPr>
          <w:p>
            <w:pPr>
              <w:spacing w:after="0"/>
              <w:rPr>
                <w:sz w:val="16"/>
                <w:szCs w:val="16"/>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Materials in-transit</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Less: inventory reserve</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(6,143)</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(6,834)</w:t>
            </w:r>
          </w:p>
        </w:tc>
      </w:tr>
      <w:tr>
        <w:trPr>
          <w:trHeight w:val="183"/>
        </w:trPr>
        <w:tc>
          <w:tcPr>
            <w:tcW w:w="460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32,848</w:t>
            </w: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34,151</w:t>
            </w:r>
          </w:p>
        </w:tc>
        <w:tc>
          <w:tcPr>
            <w:tcW w:w="80" w:type="dxa"/>
            <w:vAlign w:val="bottom"/>
            <w:tcBorders>
              <w:top w:val="single" w:sz="8" w:color="CFF0FC"/>
            </w:tcBorders>
          </w:tcPr>
          <w:p>
            <w:pPr>
              <w:spacing w:after="0"/>
              <w:rPr>
                <w:sz w:val="15"/>
                <w:szCs w:val="15"/>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-153670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-153670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Changes in inventory reserve for the three months ended March 31, 2026 and 2025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21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0" w:type="dxa"/>
            <w:vAlign w:val="bottom"/>
            <w:gridSpan w:val="2"/>
          </w:tcPr>
          <w:p>
            <w:pPr>
              <w:spacing w:after="0"/>
              <w:rPr>
                <w:sz w:val="10"/>
                <w:szCs w:val="10"/>
                <w:color w:val="auto"/>
              </w:rPr>
            </w:pPr>
          </w:p>
        </w:tc>
      </w:tr>
      <w:tr>
        <w:trPr>
          <w:trHeight w:val="173"/>
        </w:trPr>
        <w:tc>
          <w:tcPr>
            <w:tcW w:w="2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83"/>
        </w:trPr>
        <w:tc>
          <w:tcPr>
            <w:tcW w:w="2120" w:type="dxa"/>
            <w:vAlign w:val="bottom"/>
          </w:tcPr>
          <w:p>
            <w:pPr>
              <w:spacing w:after="0"/>
              <w:rPr>
                <w:sz w:val="15"/>
                <w:szCs w:val="15"/>
                <w:color w:val="auto"/>
              </w:rPr>
            </w:pPr>
          </w:p>
        </w:tc>
        <w:tc>
          <w:tcPr>
            <w:tcW w:w="3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Beginning balance</w:t>
            </w:r>
          </w:p>
        </w:tc>
        <w:tc>
          <w:tcPr>
            <w:tcW w:w="14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(6,834)</w:t>
            </w:r>
          </w:p>
        </w:tc>
        <w:tc>
          <w:tcPr>
            <w:tcW w:w="20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(7,732)</w:t>
            </w:r>
          </w:p>
        </w:tc>
        <w:tc>
          <w:tcPr>
            <w:tcW w:w="2120" w:type="dxa"/>
            <w:vAlign w:val="bottom"/>
          </w:tcPr>
          <w:p>
            <w:pPr>
              <w:spacing w:after="0"/>
              <w:rPr>
                <w:sz w:val="15"/>
                <w:szCs w:val="15"/>
                <w:color w:val="auto"/>
              </w:rPr>
            </w:pPr>
          </w:p>
        </w:tc>
      </w:tr>
      <w:tr>
        <w:trPr>
          <w:trHeight w:val="189"/>
        </w:trPr>
        <w:tc>
          <w:tcPr>
            <w:tcW w:w="21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Change in reserve</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9"/>
        </w:trPr>
        <w:tc>
          <w:tcPr>
            <w:tcW w:w="2120" w:type="dxa"/>
            <w:vAlign w:val="bottom"/>
          </w:tcPr>
          <w:p>
            <w:pPr>
              <w:spacing w:after="0"/>
              <w:rPr>
                <w:sz w:val="16"/>
                <w:szCs w:val="16"/>
                <w:color w:val="auto"/>
              </w:rPr>
            </w:pPr>
          </w:p>
        </w:tc>
        <w:tc>
          <w:tcPr>
            <w:tcW w:w="32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Inventory reserve charged to costs of sales</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(1,161)</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(2,299)</w:t>
            </w:r>
          </w:p>
        </w:tc>
        <w:tc>
          <w:tcPr>
            <w:tcW w:w="2120" w:type="dxa"/>
            <w:vAlign w:val="bottom"/>
          </w:tcPr>
          <w:p>
            <w:pPr>
              <w:spacing w:after="0"/>
              <w:rPr>
                <w:sz w:val="16"/>
                <w:szCs w:val="16"/>
                <w:color w:val="auto"/>
              </w:rPr>
            </w:pPr>
          </w:p>
        </w:tc>
      </w:tr>
      <w:tr>
        <w:trPr>
          <w:trHeight w:val="189"/>
        </w:trPr>
        <w:tc>
          <w:tcPr>
            <w:tcW w:w="2120" w:type="dxa"/>
            <w:vAlign w:val="bottom"/>
          </w:tcPr>
          <w:p>
            <w:pPr>
              <w:spacing w:after="0"/>
              <w:rPr>
                <w:sz w:val="16"/>
                <w:szCs w:val="16"/>
                <w:color w:val="auto"/>
              </w:rPr>
            </w:pPr>
          </w:p>
        </w:tc>
        <w:tc>
          <w:tcPr>
            <w:tcW w:w="32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Sale of previously reserved inventory</w:t>
            </w:r>
          </w:p>
        </w:tc>
        <w:tc>
          <w:tcPr>
            <w:tcW w:w="1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1,268</w:t>
            </w: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3"/>
        </w:trPr>
        <w:tc>
          <w:tcPr>
            <w:tcW w:w="21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89"/>
        </w:trPr>
        <w:tc>
          <w:tcPr>
            <w:tcW w:w="2120" w:type="dxa"/>
            <w:vAlign w:val="bottom"/>
          </w:tcPr>
          <w:p>
            <w:pPr>
              <w:spacing w:after="0"/>
              <w:rPr>
                <w:sz w:val="16"/>
                <w:szCs w:val="16"/>
                <w:color w:val="auto"/>
              </w:rPr>
            </w:pPr>
          </w:p>
        </w:tc>
        <w:tc>
          <w:tcPr>
            <w:tcW w:w="3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Write off</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16"/>
                <w:szCs w:val="16"/>
                <w:color w:val="auto"/>
              </w:rPr>
            </w:pPr>
          </w:p>
        </w:tc>
        <w:tc>
          <w:tcPr>
            <w:tcW w:w="2120" w:type="dxa"/>
            <w:vAlign w:val="bottom"/>
          </w:tcPr>
          <w:p>
            <w:pPr>
              <w:spacing w:after="0"/>
              <w:rPr>
                <w:sz w:val="16"/>
                <w:szCs w:val="16"/>
                <w:color w:val="auto"/>
              </w:rPr>
            </w:pPr>
          </w:p>
        </w:tc>
      </w:tr>
      <w:tr>
        <w:trPr>
          <w:trHeight w:val="189"/>
        </w:trPr>
        <w:tc>
          <w:tcPr>
            <w:tcW w:w="21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Translation adjustments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(188)</w:t>
            </w:r>
          </w:p>
        </w:tc>
        <w:tc>
          <w:tcPr>
            <w:tcW w:w="2120" w:type="dxa"/>
            <w:vAlign w:val="bottom"/>
          </w:tcPr>
          <w:p>
            <w:pPr>
              <w:spacing w:after="0"/>
              <w:rPr>
                <w:sz w:val="16"/>
                <w:szCs w:val="16"/>
                <w:color w:val="auto"/>
              </w:rPr>
            </w:pP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120" w:type="dxa"/>
            <w:vAlign w:val="bottom"/>
          </w:tcPr>
          <w:p>
            <w:pPr>
              <w:spacing w:after="0"/>
              <w:rPr>
                <w:sz w:val="19"/>
                <w:szCs w:val="19"/>
                <w:color w:val="auto"/>
              </w:rPr>
            </w:pPr>
          </w:p>
        </w:tc>
        <w:tc>
          <w:tcPr>
            <w:tcW w:w="3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Ending balance</w:t>
            </w:r>
          </w:p>
        </w:tc>
        <w:tc>
          <w:tcPr>
            <w:tcW w:w="14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(6,143)</w:t>
            </w:r>
          </w:p>
        </w:tc>
        <w:tc>
          <w:tcPr>
            <w:tcW w:w="20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(8,754)</w:t>
            </w:r>
          </w:p>
        </w:tc>
        <w:tc>
          <w:tcPr>
            <w:tcW w:w="2120" w:type="dxa"/>
            <w:vAlign w:val="bottom"/>
          </w:tcPr>
          <w:p>
            <w:pPr>
              <w:spacing w:after="0"/>
              <w:rPr>
                <w:sz w:val="19"/>
                <w:szCs w:val="19"/>
                <w:color w:val="auto"/>
              </w:rPr>
            </w:pPr>
          </w:p>
        </w:tc>
      </w:tr>
      <w:tr>
        <w:trPr>
          <w:trHeight w:val="615"/>
        </w:trPr>
        <w:tc>
          <w:tcPr>
            <w:tcW w:w="2120" w:type="dxa"/>
            <w:vAlign w:val="bottom"/>
          </w:tcPr>
          <w:p>
            <w:pPr>
              <w:spacing w:after="0"/>
              <w:rPr>
                <w:sz w:val="24"/>
                <w:szCs w:val="24"/>
                <w:color w:val="auto"/>
              </w:rPr>
            </w:pPr>
          </w:p>
        </w:tc>
        <w:tc>
          <w:tcPr>
            <w:tcW w:w="328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120" w:type="dxa"/>
            <w:vAlign w:val="bottom"/>
          </w:tcPr>
          <w:p>
            <w:pPr>
              <w:spacing w:after="0"/>
              <w:rPr>
                <w:sz w:val="24"/>
                <w:szCs w:val="24"/>
                <w:color w:val="auto"/>
              </w:rPr>
            </w:pPr>
          </w:p>
        </w:tc>
      </w:tr>
      <w:tr>
        <w:trPr>
          <w:trHeight w:val="750"/>
        </w:trPr>
        <w:tc>
          <w:tcPr>
            <w:tcW w:w="21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-916940</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-899795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-916940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-899795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800" w:firstLine="441"/>
        <w:spacing w:after="0" w:line="250" w:lineRule="auto"/>
        <w:rPr>
          <w:sz w:val="20"/>
          <w:szCs w:val="20"/>
          <w:color w:val="auto"/>
        </w:rPr>
      </w:pPr>
      <w:r>
        <w:rPr>
          <w:rFonts w:ascii="Times New Roman" w:cs="Times New Roman" w:eastAsia="Times New Roman" w:hAnsi="Times New Roman"/>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Property, plant and equipment as of March 31, 2026 and December 31, 2025 are comprised of the following (in thousands):</w:t>
      </w:r>
    </w:p>
    <w:p>
      <w:pPr>
        <w:spacing w:after="0" w:line="193"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Buildings and related structures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23,143</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24,371</w:t>
            </w:r>
          </w:p>
        </w:tc>
        <w:tc>
          <w:tcPr>
            <w:tcW w:w="8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128,225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137,024</w:t>
            </w:r>
          </w:p>
        </w:tc>
        <w:tc>
          <w:tcPr>
            <w:tcW w:w="80" w:type="dxa"/>
            <w:vAlign w:val="bottom"/>
          </w:tcPr>
          <w:p>
            <w:pPr>
              <w:spacing w:after="0"/>
              <w:rPr>
                <w:sz w:val="16"/>
                <w:szCs w:val="16"/>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Finance lease right-of-use assets</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FF0FC"/>
          </w:tcPr>
          <w:p>
            <w:pPr>
              <w:spacing w:after="0"/>
              <w:rPr>
                <w:sz w:val="16"/>
                <w:szCs w:val="16"/>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27,889</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32,342</w:t>
            </w:r>
          </w:p>
        </w:tc>
        <w:tc>
          <w:tcPr>
            <w:tcW w:w="80" w:type="dxa"/>
            <w:vAlign w:val="bottom"/>
          </w:tcPr>
          <w:p>
            <w:pPr>
              <w:spacing w:after="0"/>
              <w:rPr>
                <w:sz w:val="16"/>
                <w:szCs w:val="16"/>
                <w:color w:val="auto"/>
              </w:rPr>
            </w:pPr>
          </w:p>
        </w:tc>
      </w:tr>
      <w:tr>
        <w:trPr>
          <w:trHeight w:val="183"/>
        </w:trPr>
        <w:tc>
          <w:tcPr>
            <w:tcW w:w="4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179,727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194,232</w:t>
            </w:r>
          </w:p>
        </w:tc>
        <w:tc>
          <w:tcPr>
            <w:tcW w:w="8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(119,380)</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(128,171)</w:t>
            </w: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11,073</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11,679</w:t>
            </w:r>
          </w:p>
        </w:tc>
        <w:tc>
          <w:tcPr>
            <w:tcW w:w="80" w:type="dxa"/>
            <w:vAlign w:val="bottom"/>
            <w:shd w:val="clear" w:color="auto" w:fill="CFF0FC"/>
          </w:tcPr>
          <w:p>
            <w:pPr>
              <w:spacing w:after="0"/>
              <w:rPr>
                <w:sz w:val="16"/>
                <w:szCs w:val="16"/>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23,652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22,464</w:t>
            </w:r>
          </w:p>
        </w:tc>
        <w:tc>
          <w:tcPr>
            <w:tcW w:w="80" w:type="dxa"/>
            <w:vAlign w:val="bottom"/>
          </w:tcPr>
          <w:p>
            <w:pPr>
              <w:spacing w:after="0"/>
              <w:rPr>
                <w:sz w:val="16"/>
                <w:szCs w:val="16"/>
                <w:color w:val="auto"/>
              </w:rPr>
            </w:pPr>
          </w:p>
        </w:tc>
      </w:tr>
      <w:tr>
        <w:trPr>
          <w:trHeight w:val="223"/>
        </w:trPr>
        <w:tc>
          <w:tcPr>
            <w:tcW w:w="46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95,072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100,204</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-25400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-25400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-7620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660" w:right="980" w:firstLine="441"/>
        <w:spacing w:after="0" w:line="266" w:lineRule="auto"/>
        <w:rPr>
          <w:sz w:val="20"/>
          <w:szCs w:val="20"/>
          <w:color w:val="auto"/>
        </w:rPr>
      </w:pPr>
      <w:r>
        <w:rPr>
          <w:rFonts w:ascii="Times New Roman" w:cs="Times New Roman" w:eastAsia="Times New Roman" w:hAnsi="Times New Roman"/>
          <w:sz w:val="18"/>
          <w:szCs w:val="18"/>
          <w:color w:val="auto"/>
        </w:rPr>
        <w:t>Aggregate depreciation expenses associated with continuing operations totaled $2,829 thousand and $3,048 thousand for the three months ended March 31, 2026 and 2025, respectively.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Pledge Agreement</w:t>
      </w:r>
    </w:p>
    <w:p>
      <w:pPr>
        <w:spacing w:after="0" w:line="121" w:lineRule="exact"/>
        <w:rPr>
          <w:sz w:val="20"/>
          <w:szCs w:val="20"/>
          <w:color w:val="auto"/>
        </w:rPr>
      </w:pPr>
    </w:p>
    <w:p>
      <w:pPr>
        <w:ind w:left="660" w:right="780" w:firstLine="441"/>
        <w:spacing w:after="0" w:line="246" w:lineRule="auto"/>
        <w:rPr>
          <w:sz w:val="20"/>
          <w:szCs w:val="20"/>
          <w:color w:val="auto"/>
        </w:rPr>
      </w:pPr>
      <w:r>
        <w:rPr>
          <w:rFonts w:ascii="Times New Roman" w:cs="Times New Roman" w:eastAsia="Times New Roman" w:hAnsi="Times New Roman"/>
          <w:sz w:val="18"/>
          <w:szCs w:val="18"/>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in favor of KDB.</w:t>
      </w:r>
    </w:p>
    <w:p>
      <w:pPr>
        <w:spacing w:after="0" w:line="181" w:lineRule="exact"/>
        <w:rPr>
          <w:sz w:val="20"/>
          <w:szCs w:val="20"/>
          <w:color w:val="auto"/>
        </w:rPr>
      </w:pPr>
    </w:p>
    <w:p>
      <w:pPr>
        <w:ind w:left="660" w:right="980" w:firstLine="441"/>
        <w:spacing w:after="0" w:line="250" w:lineRule="auto"/>
        <w:rPr>
          <w:sz w:val="20"/>
          <w:szCs w:val="20"/>
          <w:color w:val="auto"/>
        </w:rPr>
      </w:pPr>
      <w:r>
        <w:rPr>
          <w:rFonts w:ascii="Times New Roman" w:cs="Times New Roman" w:eastAsia="Times New Roman" w:hAnsi="Times New Roman"/>
          <w:sz w:val="18"/>
          <w:szCs w:val="18"/>
          <w:color w:val="auto"/>
        </w:rPr>
        <w:t>On December 16, 2024, MSK executed a Standard Credit Agreement (as amended) (together with its General Terms and Conditions, the “Equipment Financing Credit Agreement”) with KDB. In connection with the Equipment Financing Credit Agreement, on December 8, 2024, MSK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in Gumi, Korea.</w:t>
      </w:r>
    </w:p>
    <w:p>
      <w:pPr>
        <w:spacing w:after="0" w:line="177" w:lineRule="exact"/>
        <w:rPr>
          <w:sz w:val="20"/>
          <w:szCs w:val="20"/>
          <w:color w:val="auto"/>
        </w:rPr>
      </w:pPr>
    </w:p>
    <w:p>
      <w:pPr>
        <w:ind w:left="660" w:right="1460" w:firstLine="441"/>
        <w:spacing w:after="0" w:line="266" w:lineRule="auto"/>
        <w:rPr>
          <w:sz w:val="20"/>
          <w:szCs w:val="20"/>
          <w:color w:val="auto"/>
        </w:rPr>
      </w:pPr>
      <w:r>
        <w:rPr>
          <w:rFonts w:ascii="Times New Roman" w:cs="Times New Roman" w:eastAsia="Times New Roman" w:hAnsi="Times New Roman"/>
          <w:sz w:val="18"/>
          <w:szCs w:val="18"/>
          <w:color w:val="auto"/>
        </w:rPr>
        <w:t>See “Note 11. Borrowings” to these consolidated financial statements below for more information regarding the Loan Agreement and Equipment Financing Credit Agreement.</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Intangible assets as of March 31, 2026 and December 31, 2025 are comprised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40" w:type="dxa"/>
            <w:vAlign w:val="bottom"/>
            <w:gridSpan w:val="3"/>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78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7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28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Intellectual property assets</w:t>
            </w:r>
          </w:p>
        </w:tc>
        <w:tc>
          <w:tcPr>
            <w:tcW w:w="1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7,317</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(6,913)</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FF0FC"/>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tcPr>
          <w:p>
            <w:pPr>
              <w:spacing w:after="0"/>
              <w:rPr>
                <w:sz w:val="15"/>
                <w:szCs w:val="15"/>
                <w:color w:val="auto"/>
              </w:rPr>
            </w:pPr>
          </w:p>
        </w:tc>
        <w:tc>
          <w:tcPr>
            <w:tcW w:w="2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7,317</w:t>
            </w:r>
          </w:p>
        </w:tc>
        <w:tc>
          <w:tcPr>
            <w:tcW w:w="180" w:type="dxa"/>
            <w:vAlign w:val="bottom"/>
          </w:tcPr>
          <w:p>
            <w:pPr>
              <w:spacing w:after="0"/>
              <w:rPr>
                <w:sz w:val="15"/>
                <w:szCs w:val="15"/>
                <w:color w:val="auto"/>
              </w:rPr>
            </w:pPr>
          </w:p>
        </w:tc>
        <w:tc>
          <w:tcPr>
            <w:tcW w:w="2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(6,913)</w:t>
            </w: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14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8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7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28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Intellectual property assets</w:t>
            </w:r>
          </w:p>
        </w:tc>
        <w:tc>
          <w:tcPr>
            <w:tcW w:w="1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7,672</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(7,218)</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FF0FC"/>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tcPr>
          <w:p>
            <w:pPr>
              <w:spacing w:after="0"/>
              <w:rPr>
                <w:sz w:val="15"/>
                <w:szCs w:val="15"/>
                <w:color w:val="auto"/>
              </w:rPr>
            </w:pPr>
          </w:p>
        </w:tc>
        <w:tc>
          <w:tcPr>
            <w:tcW w:w="2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7,672</w:t>
            </w:r>
          </w:p>
        </w:tc>
        <w:tc>
          <w:tcPr>
            <w:tcW w:w="180" w:type="dxa"/>
            <w:vAlign w:val="bottom"/>
          </w:tcPr>
          <w:p>
            <w:pPr>
              <w:spacing w:after="0"/>
              <w:rPr>
                <w:sz w:val="15"/>
                <w:szCs w:val="15"/>
                <w:color w:val="auto"/>
              </w:rPr>
            </w:pPr>
          </w:p>
        </w:tc>
        <w:tc>
          <w:tcPr>
            <w:tcW w:w="2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(7,218)</w:t>
            </w:r>
          </w:p>
        </w:tc>
        <w:tc>
          <w:tcPr>
            <w:tcW w:w="1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-1756410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-1756410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-1756410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-1045210</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-1045210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-1045210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0" w:firstLine="441"/>
        <w:spacing w:after="0" w:line="313" w:lineRule="auto"/>
        <w:rPr>
          <w:sz w:val="20"/>
          <w:szCs w:val="20"/>
          <w:color w:val="auto"/>
        </w:rPr>
      </w:pPr>
      <w:r>
        <w:rPr>
          <w:rFonts w:ascii="Times New Roman" w:cs="Times New Roman" w:eastAsia="Times New Roman" w:hAnsi="Times New Roman"/>
          <w:sz w:val="18"/>
          <w:szCs w:val="18"/>
          <w:color w:val="auto"/>
        </w:rPr>
        <w:t>Aggregate amortization expenses associated with continuing operations totaled $48 thousand and $72 thousand for the three months ended March 31, 2026 and 2025,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08"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buildings and other assets such as vehicles and office equipment. The Company’s leases have remaining lease terms ranging from one year to four years.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tables below present financial information related to the Company’s leases.</w:t>
      </w:r>
    </w:p>
    <w:p>
      <w:pPr>
        <w:spacing w:after="0" w:line="212"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Supplemental balance sheets information related to leases as of March 31, 2026 and December 31, 2025 are as follows (in thousands):</w:t>
      </w:r>
    </w:p>
    <w:p>
      <w:pPr>
        <w:spacing w:after="0" w:line="11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3"/>
                <w:szCs w:val="13"/>
                <w:color w:val="auto"/>
              </w:rPr>
            </w:pPr>
          </w:p>
        </w:tc>
        <w:tc>
          <w:tcPr>
            <w:tcW w:w="25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3"/>
                <w:szCs w:val="13"/>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900" w:type="dxa"/>
            <w:vAlign w:val="bottom"/>
            <w:gridSpan w:val="4"/>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00" w:type="dxa"/>
            <w:vAlign w:val="bottom"/>
          </w:tcPr>
          <w:p>
            <w:pPr>
              <w:spacing w:after="0"/>
              <w:rPr>
                <w:sz w:val="15"/>
                <w:szCs w:val="15"/>
                <w:color w:val="auto"/>
              </w:rPr>
            </w:pPr>
          </w:p>
        </w:tc>
        <w:tc>
          <w:tcPr>
            <w:tcW w:w="124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2580" w:type="dxa"/>
            <w:vAlign w:val="bottom"/>
            <w:tcBorders>
              <w:top w:val="single" w:sz="8" w:color="auto"/>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5"/>
                <w:szCs w:val="15"/>
                <w:color w:val="auto"/>
              </w:rPr>
            </w:pPr>
          </w:p>
        </w:tc>
        <w:tc>
          <w:tcPr>
            <w:tcW w:w="228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gridSpan w:val="2"/>
          </w:tcPr>
          <w:p>
            <w:pPr>
              <w:jc w:val="right"/>
              <w:ind w:right="382"/>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1,797</w:t>
            </w:r>
          </w:p>
        </w:tc>
        <w:tc>
          <w:tcPr>
            <w:tcW w:w="660" w:type="dxa"/>
            <w:vAlign w:val="bottom"/>
            <w:gridSpan w:val="2"/>
          </w:tcPr>
          <w:p>
            <w:pPr>
              <w:jc w:val="right"/>
              <w:ind w:right="3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w w:val="98"/>
              </w:rPr>
              <w:t>2,070</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shd w:val="clear" w:color="auto" w:fill="CFF0FC"/>
          </w:tcPr>
          <w:p>
            <w:pPr>
              <w:spacing w:after="0"/>
              <w:rPr>
                <w:sz w:val="16"/>
                <w:szCs w:val="16"/>
                <w:color w:val="auto"/>
              </w:rPr>
            </w:pPr>
          </w:p>
        </w:tc>
        <w:tc>
          <w:tcPr>
            <w:tcW w:w="25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right w:val="single" w:sz="8" w:color="CFF0FC"/>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60" w:type="dxa"/>
            <w:vAlign w:val="bottom"/>
            <w:tcBorders>
              <w:right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assets</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ind w:right="382"/>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4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1,973</w:t>
            </w:r>
          </w:p>
        </w:tc>
        <w:tc>
          <w:tcPr>
            <w:tcW w:w="660" w:type="dxa"/>
            <w:vAlign w:val="bottom"/>
            <w:gridSpan w:val="2"/>
          </w:tcPr>
          <w:p>
            <w:pPr>
              <w:jc w:val="right"/>
              <w:ind w:right="328"/>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5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w w:val="98"/>
              </w:rPr>
              <w:t>2,287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58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shd w:val="clear" w:color="auto" w:fill="CFF0FC"/>
          </w:tcPr>
          <w:p>
            <w:pPr>
              <w:spacing w:after="0"/>
              <w:rPr>
                <w:sz w:val="16"/>
                <w:szCs w:val="16"/>
                <w:color w:val="auto"/>
              </w:rPr>
            </w:pPr>
          </w:p>
        </w:tc>
        <w:tc>
          <w:tcPr>
            <w:tcW w:w="25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gridSpan w:val="2"/>
            <w:shd w:val="clear" w:color="auto" w:fill="CFF0FC"/>
          </w:tcPr>
          <w:p>
            <w:pPr>
              <w:jc w:val="right"/>
              <w:ind w:right="382"/>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6"/>
                <w:szCs w:val="16"/>
                <w:color w:val="auto"/>
              </w:rPr>
            </w:pPr>
          </w:p>
        </w:tc>
        <w:tc>
          <w:tcPr>
            <w:tcW w:w="460" w:type="dxa"/>
            <w:vAlign w:val="bottom"/>
            <w:tcBorders>
              <w:right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1,344</w:t>
            </w:r>
          </w:p>
        </w:tc>
        <w:tc>
          <w:tcPr>
            <w:tcW w:w="660" w:type="dxa"/>
            <w:vAlign w:val="bottom"/>
            <w:gridSpan w:val="2"/>
            <w:shd w:val="clear" w:color="auto" w:fill="CFF0FC"/>
          </w:tcPr>
          <w:p>
            <w:pPr>
              <w:jc w:val="right"/>
              <w:ind w:right="3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w w:val="98"/>
              </w:rPr>
              <w:t>1,427</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tcPr>
          <w:p>
            <w:pPr>
              <w:ind w:left="180"/>
              <w:spacing w:after="0" w:line="189" w:lineRule="exact"/>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tcPr>
          <w:p>
            <w:pPr>
              <w:spacing w:after="0"/>
              <w:rPr>
                <w:sz w:val="16"/>
                <w:szCs w:val="16"/>
                <w:color w:val="auto"/>
              </w:rPr>
            </w:pPr>
          </w:p>
        </w:tc>
        <w:tc>
          <w:tcPr>
            <w:tcW w:w="25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40" w:type="dxa"/>
            <w:vAlign w:val="bottom"/>
          </w:tcPr>
          <w:p>
            <w:pPr>
              <w:spacing w:after="0"/>
              <w:rPr>
                <w:sz w:val="13"/>
                <w:szCs w:val="13"/>
                <w:color w:val="auto"/>
              </w:rPr>
            </w:pPr>
          </w:p>
        </w:tc>
        <w:tc>
          <w:tcPr>
            <w:tcW w:w="258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Pr>
          <w:p>
            <w:pPr>
              <w:spacing w:after="0"/>
              <w:rPr>
                <w:sz w:val="13"/>
                <w:szCs w:val="13"/>
                <w:color w:val="auto"/>
              </w:rPr>
            </w:pPr>
          </w:p>
        </w:tc>
        <w:tc>
          <w:tcPr>
            <w:tcW w:w="256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Non-current operating lease</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2580" w:type="dxa"/>
            <w:vAlign w:val="bottom"/>
            <w:gridSpan w:val="2"/>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shd w:val="clear" w:color="auto" w:fill="CFF0FC"/>
          </w:tcPr>
          <w:p>
            <w:pPr>
              <w:spacing w:after="0"/>
              <w:rPr>
                <w:sz w:val="16"/>
                <w:szCs w:val="16"/>
                <w:color w:val="auto"/>
              </w:rPr>
            </w:pPr>
          </w:p>
        </w:tc>
        <w:tc>
          <w:tcPr>
            <w:tcW w:w="25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right w:val="single" w:sz="8" w:color="CFF0FC"/>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60" w:type="dxa"/>
            <w:vAlign w:val="bottom"/>
            <w:tcBorders>
              <w:right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2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38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5"/>
                <w:szCs w:val="15"/>
                <w:color w:val="auto"/>
              </w:rPr>
            </w:pPr>
          </w:p>
        </w:tc>
        <w:tc>
          <w:tcPr>
            <w:tcW w:w="4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2,065</w:t>
            </w:r>
          </w:p>
        </w:tc>
        <w:tc>
          <w:tcPr>
            <w:tcW w:w="660" w:type="dxa"/>
            <w:vAlign w:val="bottom"/>
            <w:gridSpan w:val="2"/>
          </w:tcPr>
          <w:p>
            <w:pPr>
              <w:jc w:val="right"/>
              <w:ind w:right="328"/>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5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w w:val="98"/>
              </w:rPr>
              <w:t>2,375</w:t>
            </w: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80" w:type="dxa"/>
            <w:vAlign w:val="bottom"/>
            <w:gridSpan w:val="4"/>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40" w:type="dxa"/>
            <w:vAlign w:val="bottom"/>
            <w:tcBorders>
              <w:right w:val="single" w:sz="8" w:color="CFF0FC"/>
            </w:tcBorders>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1.4 years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w w:val="98"/>
              </w:rPr>
              <w:t>1.5 years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gridSpan w:val="3"/>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1.9 years</w:t>
            </w:r>
          </w:p>
        </w:tc>
        <w:tc>
          <w:tcPr>
            <w:tcW w:w="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820" w:type="dxa"/>
            <w:vAlign w:val="bottom"/>
            <w:gridSpan w:val="3"/>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w w:val="98"/>
              </w:rPr>
              <w:t>2.1 years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00" w:type="dxa"/>
            <w:vAlign w:val="bottom"/>
            <w:gridSpan w:val="4"/>
            <w:shd w:val="clear" w:color="auto" w:fill="CFF0FC"/>
          </w:tcPr>
          <w:p>
            <w:pPr>
              <w:jc w:val="center"/>
              <w:ind w:left="294"/>
              <w:spacing w:after="0" w:line="189" w:lineRule="exact"/>
              <w:rPr>
                <w:sz w:val="20"/>
                <w:szCs w:val="20"/>
                <w:color w:val="auto"/>
              </w:rPr>
            </w:pPr>
            <w:r>
              <w:rPr>
                <w:rFonts w:ascii="Times New Roman" w:cs="Times New Roman" w:eastAsia="Times New Roman" w:hAnsi="Times New Roman"/>
                <w:sz w:val="18"/>
                <w:szCs w:val="18"/>
                <w:color w:val="auto"/>
                <w:w w:val="95"/>
              </w:rPr>
              <w:t>6.0%</w:t>
            </w:r>
          </w:p>
        </w:tc>
        <w:tc>
          <w:tcPr>
            <w:tcW w:w="300" w:type="dxa"/>
            <w:vAlign w:val="bottom"/>
            <w:tcBorders>
              <w:right w:val="single" w:sz="8" w:color="CFF0FC"/>
            </w:tcBorders>
            <w:shd w:val="clear" w:color="auto" w:fill="CFF0FC"/>
          </w:tcPr>
          <w:p>
            <w:pPr>
              <w:spacing w:after="0"/>
              <w:rPr>
                <w:sz w:val="16"/>
                <w:szCs w:val="16"/>
                <w:color w:val="auto"/>
              </w:rPr>
            </w:pPr>
          </w:p>
        </w:tc>
        <w:tc>
          <w:tcPr>
            <w:tcW w:w="8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4"/>
          </w:tcPr>
          <w:p>
            <w:pPr>
              <w:jc w:val="center"/>
              <w:ind w:left="294"/>
              <w:spacing w:after="0"/>
              <w:rPr>
                <w:sz w:val="20"/>
                <w:szCs w:val="20"/>
                <w:color w:val="auto"/>
              </w:rPr>
            </w:pPr>
            <w:r>
              <w:rPr>
                <w:rFonts w:ascii="Times New Roman" w:cs="Times New Roman" w:eastAsia="Times New Roman" w:hAnsi="Times New Roman"/>
                <w:sz w:val="18"/>
                <w:szCs w:val="18"/>
                <w:color w:val="auto"/>
                <w:w w:val="95"/>
              </w:rPr>
              <w:t>7.0%</w:t>
            </w:r>
          </w:p>
        </w:tc>
        <w:tc>
          <w:tcPr>
            <w:tcW w:w="3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-2608580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-2608580</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-1494155</wp:posOffset>
            </wp:positionV>
            <wp:extent cx="431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-1494155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components of lease cost from continuing operations included in the Company’s consolidated statements of operations, are as follows (in thousands):</w:t>
      </w:r>
    </w:p>
    <w:p>
      <w:pPr>
        <w:spacing w:after="0" w:line="142"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4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1"/>
                <w:szCs w:val="11"/>
                <w:color w:val="auto"/>
              </w:rPr>
            </w:pPr>
          </w:p>
        </w:tc>
      </w:tr>
      <w:tr>
        <w:trPr>
          <w:trHeight w:val="160"/>
        </w:trPr>
        <w:tc>
          <w:tcPr>
            <w:tcW w:w="4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8"/>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6"/>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3"/>
                <w:szCs w:val="13"/>
                <w:color w:val="auto"/>
              </w:rPr>
            </w:pPr>
          </w:p>
        </w:tc>
      </w:tr>
      <w:tr>
        <w:trPr>
          <w:trHeight w:val="183"/>
        </w:trPr>
        <w:tc>
          <w:tcPr>
            <w:tcW w:w="4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484</w:t>
            </w:r>
          </w:p>
        </w:tc>
      </w:tr>
      <w:tr>
        <w:trPr>
          <w:trHeight w:val="189"/>
        </w:trPr>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Finance lease cost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64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36</w:t>
            </w:r>
          </w:p>
        </w:tc>
      </w:tr>
      <w:tr>
        <w:trPr>
          <w:trHeight w:val="189"/>
        </w:trPr>
        <w:tc>
          <w:tcPr>
            <w:tcW w:w="46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527</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-24765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-8255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above table does not include an immaterial cost of short-term leases for the three months ended March 31, 2026 and 2025.</w:t>
      </w:r>
    </w:p>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17" w:right="119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Other lease information associated with continuing operations is as follows (in thousands):</w:t>
      </w:r>
    </w:p>
    <w:p>
      <w:pPr>
        <w:spacing w:after="0" w:line="192" w:lineRule="exact"/>
        <w:rPr>
          <w:sz w:val="20"/>
          <w:szCs w:val="20"/>
          <w:color w:val="auto"/>
        </w:rPr>
      </w:pPr>
    </w:p>
    <w:tbl>
      <w:tblPr>
        <w:tblLayout w:type="fixed"/>
        <w:tblInd w:w="212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46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1"/>
                <w:szCs w:val="11"/>
                <w:color w:val="auto"/>
              </w:rPr>
            </w:pPr>
          </w:p>
        </w:tc>
      </w:tr>
      <w:tr>
        <w:trPr>
          <w:trHeight w:val="160"/>
        </w:trPr>
        <w:tc>
          <w:tcPr>
            <w:tcW w:w="4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9"/>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7"/>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3"/>
                <w:szCs w:val="13"/>
                <w:color w:val="auto"/>
              </w:rPr>
            </w:pPr>
          </w:p>
        </w:tc>
      </w:tr>
      <w:tr>
        <w:trPr>
          <w:trHeight w:val="147"/>
        </w:trPr>
        <w:tc>
          <w:tcPr>
            <w:tcW w:w="464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Cash paid for amounts included in the measurement of</w:t>
            </w: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225"/>
        </w:trPr>
        <w:tc>
          <w:tcPr>
            <w:tcW w:w="4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189"/>
        </w:trPr>
        <w:tc>
          <w:tcPr>
            <w:tcW w:w="46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622</w:t>
            </w:r>
          </w:p>
        </w:tc>
      </w:tr>
      <w:tr>
        <w:trPr>
          <w:trHeight w:val="189"/>
        </w:trPr>
        <w:tc>
          <w:tcPr>
            <w:tcW w:w="464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52" w:lineRule="exact"/>
        <w:rPr>
          <w:sz w:val="20"/>
          <w:szCs w:val="20"/>
          <w:color w:val="auto"/>
        </w:rPr>
      </w:pPr>
    </w:p>
    <w:p>
      <w:pPr>
        <w:ind w:left="660" w:right="1220" w:firstLine="441"/>
        <w:spacing w:after="0" w:line="266" w:lineRule="auto"/>
        <w:rPr>
          <w:sz w:val="20"/>
          <w:szCs w:val="20"/>
          <w:color w:val="auto"/>
        </w:rPr>
      </w:pPr>
      <w:r>
        <w:rPr>
          <w:rFonts w:ascii="Times New Roman" w:cs="Times New Roman" w:eastAsia="Times New Roman" w:hAnsi="Times New Roman"/>
          <w:sz w:val="18"/>
          <w:szCs w:val="18"/>
          <w:color w:val="auto"/>
        </w:rPr>
        <w:t>Non-cash transaction amounts of lease liabilities arising from obtaining right-of-use assets were $185 thousand and $966 thousand for the three months ended March 31, 2026 and 2025, respectively.</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March 31, 2026 are as follows (in thousands):</w:t>
      </w:r>
    </w:p>
    <w:p>
      <w:pPr>
        <w:spacing w:after="0" w:line="193"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4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r>
      <w:tr>
        <w:trPr>
          <w:trHeight w:val="183"/>
        </w:trPr>
        <w:tc>
          <w:tcPr>
            <w:tcW w:w="4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Remainder of 2026</w:t>
            </w: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1,114</w:t>
            </w: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100</w:t>
            </w:r>
          </w:p>
        </w:tc>
      </w:tr>
      <w:tr>
        <w:trPr>
          <w:trHeight w:val="189"/>
        </w:trPr>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104</w:t>
            </w:r>
          </w:p>
        </w:tc>
      </w:tr>
      <w:tr>
        <w:trPr>
          <w:trHeight w:val="189"/>
        </w:trPr>
        <w:tc>
          <w:tcPr>
            <w:tcW w:w="46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21</w:t>
            </w:r>
          </w:p>
        </w:tc>
      </w:tr>
      <w:tr>
        <w:trPr>
          <w:trHeight w:val="189"/>
        </w:trPr>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640" w:type="dxa"/>
            <w:vAlign w:val="bottom"/>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future lease payments</w:t>
            </w: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1,932</w:t>
            </w: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227</w:t>
            </w:r>
          </w:p>
        </w:tc>
      </w:tr>
      <w:tr>
        <w:trPr>
          <w:trHeight w:val="189"/>
        </w:trPr>
        <w:tc>
          <w:tcPr>
            <w:tcW w:w="4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6"/>
                <w:szCs w:val="16"/>
                <w:color w:val="auto"/>
              </w:rPr>
            </w:pPr>
          </w:p>
        </w:tc>
        <w:tc>
          <w:tcPr>
            <w:tcW w:w="8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640" w:type="dxa"/>
            <w:vAlign w:val="bottom"/>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Present value of future payments</w:t>
            </w: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1,853</w:t>
            </w: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212</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-24765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-7620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-24765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-7620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Accrued expenses as of March 31, 2026 and December 31, 2025 are comprised of the following (in thousands):</w:t>
      </w:r>
    </w:p>
    <w:p>
      <w:pPr>
        <w:spacing w:after="0" w:line="193"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51"/>
        </w:trPr>
        <w:tc>
          <w:tcPr>
            <w:tcW w:w="462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Payroll, benefits and related taxes, excluding severance</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221"/>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benefits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60" w:type="dxa"/>
            <w:vAlign w:val="bottom"/>
            <w:shd w:val="clear" w:color="auto" w:fill="CFF0FC"/>
          </w:tcPr>
          <w:p>
            <w:pPr>
              <w:spacing w:after="0"/>
              <w:rPr>
                <w:sz w:val="19"/>
                <w:szCs w:val="19"/>
                <w:color w:val="auto"/>
              </w:rPr>
            </w:pP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Withholding tax attributable to intercompany interest income</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Outside service fees</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841</w:t>
            </w:r>
          </w:p>
        </w:tc>
        <w:tc>
          <w:tcPr>
            <w:tcW w:w="60" w:type="dxa"/>
            <w:vAlign w:val="bottom"/>
            <w:shd w:val="clear" w:color="auto" w:fill="CFF0FC"/>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1,082</w:t>
            </w:r>
          </w:p>
        </w:tc>
        <w:tc>
          <w:tcPr>
            <w:tcW w:w="60" w:type="dxa"/>
            <w:vAlign w:val="bottom"/>
          </w:tcPr>
          <w:p>
            <w:pPr>
              <w:spacing w:after="0"/>
              <w:rPr>
                <w:sz w:val="16"/>
                <w:szCs w:val="16"/>
                <w:color w:val="auto"/>
              </w:rPr>
            </w:pPr>
          </w:p>
        </w:tc>
      </w:tr>
      <w:tr>
        <w:trPr>
          <w:trHeight w:val="223"/>
        </w:trPr>
        <w:tc>
          <w:tcPr>
            <w:tcW w:w="46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5,490</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6,929</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-24765</wp:posOffset>
            </wp:positionV>
            <wp:extent cx="43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-7620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-24765</wp:posOffset>
            </wp:positionV>
            <wp:extent cx="431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-7620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 Derivative Financial Instruments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Company’s Korean subsidiary, Magnachip Semiconductor, Ltd., from time to time has entered into zero cost collar</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contracts to hedge the risk of changes in the functional-currency-equivalent cash flows attributable to currency rate changes on U.S.</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dollar denominated revenues.</w:t>
      </w:r>
    </w:p>
    <w:p>
      <w:pPr>
        <w:spacing w:after="0" w:line="19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Details of the zero cost collar contracts as of March 31, 2026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Total notional</w:t>
            </w:r>
          </w:p>
        </w:tc>
        <w:tc>
          <w:tcPr>
            <w:tcW w:w="180" w:type="dxa"/>
            <w:vAlign w:val="bottom"/>
          </w:tcPr>
          <w:p>
            <w:pPr>
              <w:spacing w:after="0"/>
              <w:rPr>
                <w:sz w:val="13"/>
                <w:szCs w:val="13"/>
                <w:color w:val="auto"/>
              </w:rPr>
            </w:pPr>
          </w:p>
        </w:tc>
        <w:tc>
          <w:tcPr>
            <w:tcW w:w="25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Month of settlement</w:t>
            </w:r>
          </w:p>
        </w:tc>
        <w:tc>
          <w:tcPr>
            <w:tcW w:w="2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2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28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July 10, 2025</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9,000</w:t>
            </w:r>
          </w:p>
        </w:tc>
        <w:tc>
          <w:tcPr>
            <w:tcW w:w="180" w:type="dxa"/>
            <w:vAlign w:val="bottom"/>
            <w:shd w:val="clear" w:color="auto" w:fill="CFF0FC"/>
          </w:tcPr>
          <w:p>
            <w:pPr>
              <w:spacing w:after="0"/>
              <w:rPr>
                <w:sz w:val="15"/>
                <w:szCs w:val="15"/>
                <w:color w:val="auto"/>
              </w:rPr>
            </w:pPr>
          </w:p>
        </w:tc>
        <w:tc>
          <w:tcPr>
            <w:tcW w:w="2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April 2026 to June 2026</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17, 2025</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9,000</w:t>
            </w:r>
          </w:p>
        </w:tc>
        <w:tc>
          <w:tcPr>
            <w:tcW w:w="180" w:type="dxa"/>
            <w:vAlign w:val="bottom"/>
          </w:tcPr>
          <w:p>
            <w:pPr>
              <w:spacing w:after="0"/>
              <w:rPr>
                <w:sz w:val="16"/>
                <w:szCs w:val="16"/>
                <w:color w:val="auto"/>
              </w:rPr>
            </w:pPr>
          </w:p>
        </w:tc>
        <w:tc>
          <w:tcPr>
            <w:tcW w:w="2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2026 to September 2026</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21,000</w:t>
            </w:r>
          </w:p>
        </w:tc>
        <w:tc>
          <w:tcPr>
            <w:tcW w:w="180" w:type="dxa"/>
            <w:vAlign w:val="bottom"/>
            <w:shd w:val="clear" w:color="auto" w:fill="CFF0FC"/>
          </w:tcPr>
          <w:p>
            <w:pPr>
              <w:spacing w:after="0"/>
              <w:rPr>
                <w:sz w:val="16"/>
                <w:szCs w:val="16"/>
                <w:color w:val="auto"/>
              </w:rPr>
            </w:pPr>
          </w:p>
        </w:tc>
        <w:tc>
          <w:tcPr>
            <w:tcW w:w="2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April 2026 to December 2026</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November 07, 2025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April 2026 to June 2027</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2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Details of the zero cost collar contracts as of December 31, 2025 are as follows (in thousands):</w:t>
      </w:r>
    </w:p>
    <w:p>
      <w:pPr>
        <w:spacing w:after="0" w:line="19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Total notional</w:t>
            </w:r>
          </w:p>
        </w:tc>
        <w:tc>
          <w:tcPr>
            <w:tcW w:w="180" w:type="dxa"/>
            <w:vAlign w:val="bottom"/>
          </w:tcPr>
          <w:p>
            <w:pPr>
              <w:spacing w:after="0"/>
              <w:rPr>
                <w:sz w:val="13"/>
                <w:szCs w:val="13"/>
                <w:color w:val="auto"/>
              </w:rPr>
            </w:pPr>
          </w:p>
        </w:tc>
        <w:tc>
          <w:tcPr>
            <w:tcW w:w="25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Month of settlement</w:t>
            </w:r>
          </w:p>
        </w:tc>
        <w:tc>
          <w:tcPr>
            <w:tcW w:w="0" w:type="dxa"/>
            <w:vAlign w:val="bottom"/>
          </w:tcPr>
          <w:p>
            <w:pPr>
              <w:spacing w:after="0"/>
              <w:rPr>
                <w:sz w:val="1"/>
                <w:szCs w:val="1"/>
                <w:color w:val="auto"/>
              </w:rPr>
            </w:pPr>
          </w:p>
        </w:tc>
      </w:tr>
      <w:tr>
        <w:trPr>
          <w:trHeight w:val="173"/>
        </w:trPr>
        <w:tc>
          <w:tcPr>
            <w:tcW w:w="2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2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February 03, 2025</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9,000</w:t>
            </w:r>
          </w:p>
        </w:tc>
        <w:tc>
          <w:tcPr>
            <w:tcW w:w="180" w:type="dxa"/>
            <w:vAlign w:val="bottom"/>
            <w:shd w:val="clear" w:color="auto" w:fill="CFF0FC"/>
          </w:tcPr>
          <w:p>
            <w:pPr>
              <w:spacing w:after="0"/>
              <w:rPr>
                <w:sz w:val="15"/>
                <w:szCs w:val="15"/>
                <w:color w:val="auto"/>
              </w:rPr>
            </w:pPr>
          </w:p>
        </w:tc>
        <w:tc>
          <w:tcPr>
            <w:tcW w:w="2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January 2026 to March 2026</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July 10, 2025</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9,000</w:t>
            </w:r>
          </w:p>
        </w:tc>
        <w:tc>
          <w:tcPr>
            <w:tcW w:w="180" w:type="dxa"/>
            <w:vAlign w:val="bottom"/>
          </w:tcPr>
          <w:p>
            <w:pPr>
              <w:spacing w:after="0"/>
              <w:rPr>
                <w:sz w:val="16"/>
                <w:szCs w:val="16"/>
                <w:color w:val="auto"/>
              </w:rPr>
            </w:pPr>
          </w:p>
        </w:tc>
        <w:tc>
          <w:tcPr>
            <w:tcW w:w="2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April 2026 to June 2026</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July 17, 2025</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9,000</w:t>
            </w:r>
          </w:p>
        </w:tc>
        <w:tc>
          <w:tcPr>
            <w:tcW w:w="180" w:type="dxa"/>
            <w:vAlign w:val="bottom"/>
            <w:shd w:val="clear" w:color="auto" w:fill="CFF0FC"/>
          </w:tcPr>
          <w:p>
            <w:pPr>
              <w:spacing w:after="0"/>
              <w:rPr>
                <w:sz w:val="16"/>
                <w:szCs w:val="16"/>
                <w:color w:val="auto"/>
              </w:rPr>
            </w:pPr>
          </w:p>
        </w:tc>
        <w:tc>
          <w:tcPr>
            <w:tcW w:w="2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July 2026 to September 2026</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27,000</w:t>
            </w:r>
          </w:p>
        </w:tc>
        <w:tc>
          <w:tcPr>
            <w:tcW w:w="180" w:type="dxa"/>
            <w:vAlign w:val="bottom"/>
          </w:tcPr>
          <w:p>
            <w:pPr>
              <w:spacing w:after="0"/>
              <w:rPr>
                <w:sz w:val="16"/>
                <w:szCs w:val="16"/>
                <w:color w:val="auto"/>
              </w:rPr>
            </w:pPr>
          </w:p>
        </w:tc>
        <w:tc>
          <w:tcPr>
            <w:tcW w:w="2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January 2026 to December 2026</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November 07, 2025</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42,000</w:t>
            </w:r>
          </w:p>
        </w:tc>
        <w:tc>
          <w:tcPr>
            <w:tcW w:w="180" w:type="dxa"/>
            <w:vAlign w:val="bottom"/>
            <w:shd w:val="clear" w:color="auto" w:fill="CFF0FC"/>
          </w:tcPr>
          <w:p>
            <w:pPr>
              <w:spacing w:after="0"/>
              <w:rPr>
                <w:sz w:val="16"/>
                <w:szCs w:val="16"/>
                <w:color w:val="auto"/>
              </w:rPr>
            </w:pPr>
          </w:p>
        </w:tc>
        <w:tc>
          <w:tcPr>
            <w:tcW w:w="2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April 2026 to June 2027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00" w:firstLine="441"/>
        <w:spacing w:after="0" w:line="258" w:lineRule="auto"/>
        <w:rPr>
          <w:sz w:val="20"/>
          <w:szCs w:val="20"/>
          <w:color w:val="auto"/>
        </w:rPr>
      </w:pPr>
      <w:r>
        <w:rPr>
          <w:rFonts w:ascii="Times New Roman" w:cs="Times New Roman" w:eastAsia="Times New Roman" w:hAnsi="Times New Roman"/>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6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fair values of the Company’s outstanding zero cost collar contracts recorded as assets and liabilities as of March 31, 2026 and December 31, 2025 are as follows (in thousands):</w:t>
      </w:r>
    </w:p>
    <w:p>
      <w:pPr>
        <w:spacing w:after="0" w:line="14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080" w:type="dxa"/>
            <w:vAlign w:val="bottom"/>
            <w:tcBorders>
              <w:bottom w:val="single" w:sz="8" w:color="auto"/>
            </w:tcBorders>
            <w:vMerge w:val="continue"/>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Assets Derivatives:</w:t>
            </w:r>
          </w:p>
        </w:tc>
        <w:tc>
          <w:tcPr>
            <w:tcW w:w="1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jc w:val="center"/>
              <w:ind w:right="1433"/>
              <w:spacing w:after="0" w:line="189" w:lineRule="exact"/>
              <w:rPr>
                <w:sz w:val="20"/>
                <w:szCs w:val="20"/>
                <w:color w:val="auto"/>
              </w:rPr>
            </w:pPr>
            <w:r>
              <w:rPr>
                <w:rFonts w:ascii="Times New Roman" w:cs="Times New Roman" w:eastAsia="Times New Roman" w:hAnsi="Times New Roman"/>
                <w:sz w:val="18"/>
                <w:szCs w:val="18"/>
                <w:color w:val="auto"/>
                <w:w w:val="99"/>
              </w:rPr>
              <w:t>Zero cost collars</w:t>
            </w:r>
          </w:p>
        </w:tc>
        <w:tc>
          <w:tcPr>
            <w:tcW w:w="1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shd w:val="clear" w:color="auto" w:fill="CFF0FC"/>
          </w:tcPr>
          <w:p>
            <w:pPr>
              <w:jc w:val="center"/>
              <w:ind w:right="1453"/>
              <w:spacing w:after="0" w:line="189" w:lineRule="exact"/>
              <w:rPr>
                <w:sz w:val="20"/>
                <w:szCs w:val="20"/>
                <w:color w:val="auto"/>
              </w:rPr>
            </w:pPr>
            <w:r>
              <w:rPr>
                <w:rFonts w:ascii="Times New Roman" w:cs="Times New Roman" w:eastAsia="Times New Roman" w:hAnsi="Times New Roman"/>
                <w:sz w:val="18"/>
                <w:szCs w:val="18"/>
                <w:color w:val="auto"/>
                <w:w w:val="99"/>
              </w:rPr>
              <w:t>Liability Derivatives:</w:t>
            </w:r>
          </w:p>
        </w:tc>
        <w:tc>
          <w:tcPr>
            <w:tcW w:w="1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80" w:type="dxa"/>
            <w:vAlign w:val="bottom"/>
          </w:tcPr>
          <w:p>
            <w:pPr>
              <w:jc w:val="center"/>
              <w:ind w:right="1433"/>
              <w:spacing w:after="0" w:line="189" w:lineRule="exact"/>
              <w:rPr>
                <w:sz w:val="20"/>
                <w:szCs w:val="20"/>
                <w:color w:val="auto"/>
              </w:rPr>
            </w:pPr>
            <w:r>
              <w:rPr>
                <w:rFonts w:ascii="Times New Roman" w:cs="Times New Roman" w:eastAsia="Times New Roman" w:hAnsi="Times New Roman"/>
                <w:sz w:val="18"/>
                <w:szCs w:val="18"/>
                <w:color w:val="auto"/>
                <w:w w:val="99"/>
              </w:rPr>
              <w:t>Zero cost collars</w:t>
            </w:r>
          </w:p>
        </w:tc>
        <w:tc>
          <w:tcPr>
            <w:tcW w:w="19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4,712</w:t>
            </w:r>
          </w:p>
        </w:tc>
        <w:tc>
          <w:tcPr>
            <w:tcW w:w="3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FF0FC"/>
          </w:tcPr>
          <w:p>
            <w:pPr>
              <w:jc w:val="center"/>
              <w:ind w:right="1433"/>
              <w:spacing w:after="0" w:line="157" w:lineRule="exact"/>
              <w:rPr>
                <w:sz w:val="20"/>
                <w:szCs w:val="20"/>
                <w:color w:val="auto"/>
              </w:rPr>
            </w:pPr>
            <w:r>
              <w:rPr>
                <w:rFonts w:ascii="Times New Roman" w:cs="Times New Roman" w:eastAsia="Times New Roman" w:hAnsi="Times New Roman"/>
                <w:sz w:val="18"/>
                <w:szCs w:val="18"/>
                <w:color w:val="auto"/>
                <w:w w:val="99"/>
              </w:rPr>
              <w:t>Zero cost collars</w:t>
            </w:r>
          </w:p>
        </w:tc>
        <w:tc>
          <w:tcPr>
            <w:tcW w:w="1980" w:type="dxa"/>
            <w:vAlign w:val="bottom"/>
            <w:shd w:val="clear" w:color="auto" w:fill="CFF0FC"/>
          </w:tcPr>
          <w:p>
            <w:pPr>
              <w:ind w:left="120"/>
              <w:spacing w:after="0" w:line="157" w:lineRule="exact"/>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FF0FC"/>
          </w:tcPr>
          <w:p>
            <w:pPr>
              <w:spacing w:after="0"/>
              <w:rPr>
                <w:sz w:val="19"/>
                <w:szCs w:val="19"/>
                <w:color w:val="auto"/>
              </w:rPr>
            </w:pPr>
          </w:p>
        </w:tc>
        <w:tc>
          <w:tcPr>
            <w:tcW w:w="1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Offsetting of derivative liabilities as of March 31, 2026 is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14"/>
                <w:szCs w:val="14"/>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4"/>
              <w:spacing w:after="0" w:line="140" w:lineRule="exact"/>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80"/>
              <w:spacing w:after="0" w:line="140"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2400" w:type="dxa"/>
            <w:vAlign w:val="bottom"/>
            <w:gridSpan w:val="5"/>
          </w:tcPr>
          <w:p>
            <w:pPr>
              <w:jc w:val="center"/>
              <w:ind w:right="340"/>
              <w:spacing w:after="0" w:line="140" w:lineRule="exact"/>
              <w:rPr>
                <w:sz w:val="20"/>
                <w:szCs w:val="20"/>
                <w:color w:val="auto"/>
              </w:rPr>
            </w:pPr>
            <w:r>
              <w:rPr>
                <w:rFonts w:ascii="Times New Roman" w:cs="Times New Roman" w:eastAsia="Times New Roman" w:hAnsi="Times New Roman"/>
                <w:sz w:val="14"/>
                <w:szCs w:val="14"/>
                <w:b w:val="1"/>
                <w:bCs w:val="1"/>
                <w:color w:val="auto"/>
              </w:rPr>
              <w:t>in the balance sheets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9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r>
      <w:tr>
        <w:trPr>
          <w:trHeight w:val="183"/>
        </w:trPr>
        <w:tc>
          <w:tcPr>
            <w:tcW w:w="252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Liability Derivatives:</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(4,970)</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Offsetting of derivative assets and liabilities as of December 31, 2025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13"/>
                <w:szCs w:val="13"/>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8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120" w:type="dxa"/>
            <w:vAlign w:val="bottom"/>
          </w:tcPr>
          <w:p>
            <w:pPr>
              <w:spacing w:after="0"/>
              <w:rPr>
                <w:sz w:val="14"/>
                <w:szCs w:val="14"/>
                <w:color w:val="auto"/>
              </w:rPr>
            </w:pPr>
          </w:p>
        </w:tc>
        <w:tc>
          <w:tcPr>
            <w:tcW w:w="24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6"/>
              <w:spacing w:after="0" w:line="160"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3"/>
                <w:szCs w:val="13"/>
                <w:color w:val="auto"/>
              </w:rPr>
            </w:pPr>
          </w:p>
        </w:tc>
        <w:tc>
          <w:tcPr>
            <w:tcW w:w="126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3"/>
                <w:szCs w:val="13"/>
                <w:color w:val="auto"/>
              </w:rPr>
            </w:pPr>
          </w:p>
        </w:tc>
        <w:tc>
          <w:tcPr>
            <w:tcW w:w="940" w:type="dxa"/>
            <w:vAlign w:val="bottom"/>
          </w:tcPr>
          <w:p>
            <w:pPr>
              <w:jc w:val="center"/>
              <w:ind w:right="42"/>
              <w:spacing w:after="0" w:line="160"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13"/>
                <w:szCs w:val="13"/>
                <w:color w:val="auto"/>
              </w:rPr>
            </w:pPr>
          </w:p>
        </w:tc>
        <w:tc>
          <w:tcPr>
            <w:tcW w:w="1260" w:type="dxa"/>
            <w:vAlign w:val="bottom"/>
            <w:gridSpan w:val="3"/>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75"/>
        </w:trPr>
        <w:tc>
          <w:tcPr>
            <w:tcW w:w="2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Asset Derivatives:</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Zero cost collars</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Liability Derivatives: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441"/>
        <w:spacing w:after="0" w:line="246"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80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statements of operations for the three months ended March 31, 2026 and 2025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200" w:type="dxa"/>
            <w:vAlign w:val="bottom"/>
          </w:tcPr>
          <w:p>
            <w:pPr>
              <w:spacing w:after="0"/>
              <w:rPr>
                <w:sz w:val="13"/>
                <w:szCs w:val="13"/>
                <w:color w:val="auto"/>
              </w:rPr>
            </w:pPr>
          </w:p>
        </w:tc>
        <w:tc>
          <w:tcPr>
            <w:tcW w:w="26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Location/Amount of Loss Reclassified</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Derivatives in ASC 815 Cash Flow</w:t>
            </w:r>
          </w:p>
        </w:tc>
        <w:tc>
          <w:tcPr>
            <w:tcW w:w="100" w:type="dxa"/>
            <w:vAlign w:val="bottom"/>
          </w:tcPr>
          <w:p>
            <w:pPr>
              <w:spacing w:after="0"/>
              <w:rPr>
                <w:sz w:val="13"/>
                <w:szCs w:val="13"/>
                <w:color w:val="auto"/>
              </w:rPr>
            </w:pPr>
          </w:p>
        </w:tc>
        <w:tc>
          <w:tcPr>
            <w:tcW w:w="164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Recognized in AOCI on</w:t>
            </w:r>
          </w:p>
        </w:tc>
        <w:tc>
          <w:tcPr>
            <w:tcW w:w="200" w:type="dxa"/>
            <w:vAlign w:val="bottom"/>
          </w:tcPr>
          <w:p>
            <w:pPr>
              <w:spacing w:after="0"/>
              <w:rPr>
                <w:sz w:val="13"/>
                <w:szCs w:val="13"/>
                <w:color w:val="auto"/>
              </w:rPr>
            </w:pPr>
          </w:p>
        </w:tc>
        <w:tc>
          <w:tcPr>
            <w:tcW w:w="2620" w:type="dxa"/>
            <w:vAlign w:val="bottom"/>
            <w:gridSpan w:val="7"/>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from AOCI Into Statement of</w:t>
            </w:r>
          </w:p>
        </w:tc>
        <w:tc>
          <w:tcPr>
            <w:tcW w:w="2960" w:type="dxa"/>
            <w:vAlign w:val="bottom"/>
            <w:gridSpan w:val="7"/>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Location/Amount of Gain (Loss) Recognized</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Statement of Operations on Derivatives</w:t>
            </w:r>
          </w:p>
        </w:tc>
        <w:tc>
          <w:tcPr>
            <w:tcW w:w="0" w:type="dxa"/>
            <w:vAlign w:val="bottom"/>
          </w:tcPr>
          <w:p>
            <w:pPr>
              <w:spacing w:after="0"/>
              <w:rPr>
                <w:sz w:val="1"/>
                <w:szCs w:val="1"/>
                <w:color w:val="auto"/>
              </w:rPr>
            </w:pPr>
          </w:p>
        </w:tc>
      </w:tr>
      <w:tr>
        <w:trPr>
          <w:trHeight w:val="117"/>
        </w:trPr>
        <w:tc>
          <w:tcPr>
            <w:tcW w:w="2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4"/>
          </w:tcPr>
          <w:p>
            <w:pPr>
              <w:jc w:val="center"/>
              <w:ind w:right="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4"/>
          </w:tcPr>
          <w:p>
            <w:pPr>
              <w:jc w:val="right"/>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right"/>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Zero cost collars</w:t>
            </w:r>
          </w:p>
        </w:tc>
        <w:tc>
          <w:tcPr>
            <w:tcW w:w="1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(3,693)</w:t>
            </w:r>
          </w:p>
        </w:tc>
        <w:tc>
          <w:tcPr>
            <w:tcW w:w="22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Net sales  $</w:t>
            </w:r>
          </w:p>
        </w:tc>
        <w:tc>
          <w:tcPr>
            <w:tcW w:w="84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(525)</w:t>
            </w:r>
          </w:p>
        </w:tc>
        <w:tc>
          <w:tcPr>
            <w:tcW w:w="1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Other income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FF0FC"/>
          </w:tcPr>
          <w:p>
            <w:pPr>
              <w:spacing w:after="0"/>
              <w:rPr>
                <w:sz w:val="16"/>
                <w:szCs w:val="16"/>
                <w:color w:val="auto"/>
              </w:rPr>
            </w:pPr>
          </w:p>
        </w:tc>
        <w:tc>
          <w:tcPr>
            <w:tcW w:w="18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tcBorders>
              <w:right w:val="single" w:sz="8" w:color="CFF0FC"/>
            </w:tcBorders>
            <w:gridSpan w:val="2"/>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net</w:t>
            </w:r>
          </w:p>
        </w:tc>
        <w:tc>
          <w:tcPr>
            <w:tcW w:w="100" w:type="dxa"/>
            <w:vAlign w:val="bottom"/>
            <w:vMerge w:val="continue"/>
            <w:shd w:val="clear" w:color="auto" w:fill="CFF0FC"/>
          </w:tcPr>
          <w:p>
            <w:pPr>
              <w:spacing w:after="0"/>
              <w:rPr>
                <w:sz w:val="16"/>
                <w:szCs w:val="16"/>
                <w:color w:val="auto"/>
              </w:rPr>
            </w:pPr>
          </w:p>
        </w:tc>
        <w:tc>
          <w:tcPr>
            <w:tcW w:w="820" w:type="dxa"/>
            <w:vAlign w:val="bottom"/>
            <w:tcBorders>
              <w:right w:val="single" w:sz="8" w:color="CFF0FC"/>
            </w:tcBorders>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00" w:type="dxa"/>
            <w:vAlign w:val="bottom"/>
          </w:tcPr>
          <w:p>
            <w:pPr>
              <w:spacing w:after="0"/>
              <w:rPr>
                <w:sz w:val="14"/>
                <w:szCs w:val="14"/>
                <w:color w:val="auto"/>
              </w:rPr>
            </w:pPr>
          </w:p>
        </w:tc>
        <w:tc>
          <w:tcPr>
            <w:tcW w:w="1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6"/>
                <w:szCs w:val="16"/>
                <w:color w:val="auto"/>
              </w:rPr>
              <w:t>(3,693)</w:t>
            </w:r>
          </w:p>
        </w:tc>
        <w:tc>
          <w:tcPr>
            <w:tcW w:w="22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136</w:t>
            </w:r>
          </w:p>
        </w:tc>
        <w:tc>
          <w:tcPr>
            <w:tcW w:w="104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6"/>
                <w:szCs w:val="16"/>
                <w:color w:val="auto"/>
              </w:rPr>
              <w:t>(225)</w:t>
            </w:r>
          </w:p>
        </w:tc>
        <w:tc>
          <w:tcPr>
            <w:tcW w:w="220" w:type="dxa"/>
            <w:vAlign w:val="bottom"/>
          </w:tcPr>
          <w:p>
            <w:pPr>
              <w:jc w:val="right"/>
              <w:ind w:right="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6"/>
                <w:szCs w:val="16"/>
                <w:color w:val="auto"/>
              </w:rPr>
              <w:t>(525)</w:t>
            </w:r>
          </w:p>
        </w:tc>
        <w:tc>
          <w:tcPr>
            <w:tcW w:w="132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2341880</wp:posOffset>
            </wp:positionH>
            <wp:positionV relativeFrom="paragraph">
              <wp:posOffset>-144780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-144780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-144780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-144780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-144780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6525260</wp:posOffset>
            </wp:positionH>
            <wp:positionV relativeFrom="paragraph">
              <wp:posOffset>-144780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left="660" w:right="860" w:firstLine="441"/>
        <w:spacing w:after="0" w:line="266" w:lineRule="auto"/>
        <w:rPr>
          <w:sz w:val="20"/>
          <w:szCs w:val="20"/>
          <w:color w:val="auto"/>
        </w:rPr>
      </w:pPr>
      <w:r>
        <w:rPr>
          <w:rFonts w:ascii="Times New Roman" w:cs="Times New Roman" w:eastAsia="Times New Roman" w:hAnsi="Times New Roman"/>
          <w:sz w:val="18"/>
          <w:szCs w:val="18"/>
          <w:color w:val="auto"/>
        </w:rPr>
        <w:t>As of March 31, 2026, the amount expected to be reclassified from accumulated other comprehensive loss into loss within the next 12 months is $3,812 thousand.</w:t>
      </w:r>
    </w:p>
    <w:p>
      <w:pPr>
        <w:spacing w:after="0" w:line="162" w:lineRule="exact"/>
        <w:rPr>
          <w:sz w:val="20"/>
          <w:szCs w:val="20"/>
          <w:color w:val="auto"/>
        </w:rPr>
      </w:pPr>
    </w:p>
    <w:p>
      <w:pPr>
        <w:ind w:left="660" w:right="660" w:firstLine="441"/>
        <w:spacing w:after="0" w:line="250" w:lineRule="auto"/>
        <w:rPr>
          <w:sz w:val="20"/>
          <w:szCs w:val="20"/>
          <w:color w:val="auto"/>
        </w:rPr>
      </w:pPr>
      <w:r>
        <w:rPr>
          <w:rFonts w:ascii="Times New Roman" w:cs="Times New Roman" w:eastAsia="Times New Roman" w:hAnsi="Times New Roman"/>
          <w:sz w:val="18"/>
          <w:szCs w:val="18"/>
          <w:color w:val="auto"/>
        </w:rPr>
        <w:t>The Company is required to deposit additional cash collateral with Nomura Financial Investment (Korea) Co., Ltd. (“NFIK”) for any exposure in excess of $500 thousand. As of March 31, 2026, $4,970 thousand of additional cash collateral were required by NFIK and recorded as hedge collateral on the consolidated balance sheet. As of December 31, 2025, $1,200 thousand of additional cash collateral were required by NFIK and recorded as hedge collateral on the consolidated balance sheet.</w:t>
      </w:r>
    </w:p>
    <w:p>
      <w:pPr>
        <w:spacing w:after="0" w:line="177" w:lineRule="exact"/>
        <w:rPr>
          <w:sz w:val="20"/>
          <w:szCs w:val="20"/>
          <w:color w:val="auto"/>
        </w:rPr>
      </w:pPr>
    </w:p>
    <w:p>
      <w:pPr>
        <w:ind w:left="660" w:right="800" w:firstLine="441"/>
        <w:spacing w:after="0" w:line="282" w:lineRule="auto"/>
        <w:rPr>
          <w:sz w:val="20"/>
          <w:szCs w:val="20"/>
          <w:color w:val="auto"/>
        </w:rPr>
      </w:pPr>
      <w:r>
        <w:rPr>
          <w:rFonts w:ascii="Times New Roman" w:cs="Times New Roman" w:eastAsia="Times New Roman" w:hAnsi="Times New Roman"/>
          <w:sz w:val="18"/>
          <w:szCs w:val="18"/>
          <w:color w:val="auto"/>
        </w:rPr>
        <w:t>These zero cost collar contracts may be terminated by the counterparty if the Company’s total cash and cash equivalents is less than $30,000 thousand at the end of a fiscal quarter, unless a waiver is obtained.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left="660" w:right="880" w:firstLine="441"/>
        <w:spacing w:after="0" w:line="266" w:lineRule="auto"/>
        <w:rPr>
          <w:sz w:val="20"/>
          <w:szCs w:val="20"/>
          <w:color w:val="auto"/>
        </w:rPr>
      </w:pPr>
      <w:r>
        <w:rPr>
          <w:rFonts w:ascii="Times New Roman" w:cs="Times New Roman" w:eastAsia="Times New Roman" w:hAnsi="Times New Roman"/>
          <w:sz w:val="18"/>
          <w:szCs w:val="18"/>
          <w:color w:val="auto"/>
        </w:rPr>
        <w:t>As of March 31, 2026, the following table represents the Company’s liabilities measured at fair value on a recurring basis and the basis for that measurement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3"/>
                <w:szCs w:val="13"/>
                <w:color w:val="auto"/>
              </w:rPr>
            </w:pPr>
          </w:p>
        </w:tc>
        <w:tc>
          <w:tcPr>
            <w:tcW w:w="196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96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0"/>
        </w:trPr>
        <w:tc>
          <w:tcPr>
            <w:tcW w:w="6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2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03"/>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3"/>
                <w:szCs w:val="13"/>
                <w:color w:val="auto"/>
              </w:rPr>
            </w:pPr>
          </w:p>
        </w:tc>
        <w:tc>
          <w:tcPr>
            <w:tcW w:w="1960" w:type="dxa"/>
            <w:vAlign w:val="bottom"/>
            <w:gridSpan w:val="3"/>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9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7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270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0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00" w:type="dxa"/>
            <w:vAlign w:val="bottom"/>
          </w:tcPr>
          <w:p>
            <w:pPr>
              <w:spacing w:after="0"/>
              <w:rPr>
                <w:sz w:val="19"/>
                <w:szCs w:val="19"/>
                <w:color w:val="auto"/>
              </w:rPr>
            </w:pPr>
          </w:p>
        </w:tc>
        <w:tc>
          <w:tcPr>
            <w:tcW w:w="19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2700" w:type="dxa"/>
            <w:vAlign w:val="bottom"/>
            <w:shd w:val="clear" w:color="auto" w:fill="CFF0FC"/>
          </w:tcPr>
          <w:p>
            <w:pPr>
              <w:ind w:left="180"/>
              <w:spacing w:after="0" w:line="157" w:lineRule="exact"/>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2025, the following table represents the Company’s assets and liabilities measured at fair value on a recurring basis and the basis for that measurement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Assets/Liability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27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70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tcPr>
          <w:p>
            <w:pPr>
              <w:spacing w:after="0"/>
              <w:rPr>
                <w:sz w:val="19"/>
                <w:szCs w:val="19"/>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2700" w:type="dxa"/>
            <w:vAlign w:val="bottom"/>
            <w:shd w:val="clear" w:color="auto" w:fill="CFF0FC"/>
          </w:tcPr>
          <w:p>
            <w:pPr>
              <w:ind w:left="180"/>
              <w:spacing w:after="0" w:line="157" w:lineRule="exact"/>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40" w:firstLine="441"/>
        <w:spacing w:after="0" w:line="246" w:lineRule="auto"/>
        <w:rPr>
          <w:sz w:val="20"/>
          <w:szCs w:val="20"/>
          <w:color w:val="auto"/>
        </w:rPr>
      </w:pPr>
      <w:r>
        <w:rPr>
          <w:rFonts w:ascii="Times New Roman" w:cs="Times New Roman" w:eastAsia="Times New Roman" w:hAnsi="Times New Roman"/>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and CAPEX Loan approximates its fair value because its interest rate reflects the market rate for the respective periods. The fair value of this debt is categorized within Level 2 of the fair value hierarchy.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Severance Benefits</w:t>
      </w:r>
    </w:p>
    <w:p>
      <w:pPr>
        <w:spacing w:after="0" w:line="108"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subsidiaries. Pursuant to the Employee Retirement Benefit Security Act of Korea, eligible employees and executive officers with one or more years of service are entitled to severance benefits upon the termination of their employment based on their length of service and rate of pay. As of March 31, 2026, 97% of all employees of the Company were eligible for severance benefits.</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accrued severance benefits are as follows (in thousands):</w:t>
      </w:r>
    </w:p>
    <w:p>
      <w:pPr>
        <w:spacing w:after="0" w:line="192"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4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1"/>
                <w:szCs w:val="11"/>
                <w:color w:val="auto"/>
              </w:rPr>
            </w:pPr>
          </w:p>
        </w:tc>
      </w:tr>
      <w:tr>
        <w:trPr>
          <w:trHeight w:val="160"/>
        </w:trPr>
        <w:tc>
          <w:tcPr>
            <w:tcW w:w="4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4"/>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37,060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45,594</w:t>
            </w:r>
          </w:p>
        </w:tc>
        <w:tc>
          <w:tcPr>
            <w:tcW w:w="80" w:type="dxa"/>
            <w:vAlign w:val="bottom"/>
            <w:shd w:val="clear" w:color="auto" w:fill="CFF0FC"/>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1,212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1,514</w:t>
            </w:r>
          </w:p>
        </w:tc>
        <w:tc>
          <w:tcPr>
            <w:tcW w:w="80" w:type="dxa"/>
            <w:vAlign w:val="bottom"/>
          </w:tcPr>
          <w:p>
            <w:pPr>
              <w:spacing w:after="0"/>
              <w:rPr>
                <w:sz w:val="16"/>
                <w:szCs w:val="16"/>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Severance payments</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(325)</w:t>
            </w: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Translation adjustments</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6"/>
                <w:szCs w:val="16"/>
                <w:color w:val="auto"/>
              </w:rPr>
            </w:pPr>
          </w:p>
        </w:tc>
      </w:tr>
      <w:tr>
        <w:trPr>
          <w:trHeight w:val="183"/>
        </w:trPr>
        <w:tc>
          <w:tcPr>
            <w:tcW w:w="46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36,094</w:t>
            </w: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46,886</w:t>
            </w:r>
          </w:p>
        </w:tc>
        <w:tc>
          <w:tcPr>
            <w:tcW w:w="80" w:type="dxa"/>
            <w:vAlign w:val="bottom"/>
            <w:shd w:val="clear" w:color="auto" w:fill="CFF0FC"/>
          </w:tcPr>
          <w:p>
            <w:pPr>
              <w:spacing w:after="0"/>
              <w:rPr>
                <w:sz w:val="15"/>
                <w:szCs w:val="15"/>
                <w:color w:val="auto"/>
              </w:rPr>
            </w:pPr>
          </w:p>
        </w:tc>
      </w:tr>
      <w:tr>
        <w:trPr>
          <w:trHeight w:val="157"/>
        </w:trPr>
        <w:tc>
          <w:tcPr>
            <w:tcW w:w="46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Less: Cumulative contributions to severance insurance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1"/>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accounts</w:t>
            </w: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(24,419)</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(28,821)</w:t>
            </w: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The National Pension Fund</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183"/>
        </w:trPr>
        <w:tc>
          <w:tcPr>
            <w:tcW w:w="460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Accrued severance benefits, net</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11,660</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18,041</w:t>
            </w:r>
          </w:p>
        </w:tc>
        <w:tc>
          <w:tcPr>
            <w:tcW w:w="80" w:type="dxa"/>
            <w:vAlign w:val="bottom"/>
            <w:tcBorders>
              <w:top w:val="single" w:sz="8" w:color="CFF0FC"/>
            </w:tcBorders>
          </w:tcPr>
          <w:p>
            <w:pPr>
              <w:spacing w:after="0"/>
              <w:rPr>
                <w:sz w:val="15"/>
                <w:szCs w:val="15"/>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-153670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-153670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severance benefits funded through the Company’s National Pension Fund have been and will be used exclusively for</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payment of severance benefits to eligible employees. These amounts have been deducted from the accrued severance benefit balance.</w:t>
      </w:r>
    </w:p>
    <w:p>
      <w:pPr>
        <w:spacing w:after="0" w:line="193" w:lineRule="exact"/>
        <w:rPr>
          <w:sz w:val="20"/>
          <w:szCs w:val="20"/>
          <w:color w:val="auto"/>
        </w:rPr>
      </w:pPr>
    </w:p>
    <w:p>
      <w:pPr>
        <w:ind w:right="40" w:firstLine="441"/>
        <w:spacing w:after="0" w:line="246" w:lineRule="auto"/>
        <w:rPr>
          <w:sz w:val="20"/>
          <w:szCs w:val="20"/>
          <w:color w:val="auto"/>
        </w:rPr>
      </w:pPr>
      <w:r>
        <w:rPr>
          <w:rFonts w:ascii="Times New Roman" w:cs="Times New Roman" w:eastAsia="Times New Roman" w:hAnsi="Times New Roman"/>
          <w:sz w:val="18"/>
          <w:szCs w:val="18"/>
          <w:color w:val="auto"/>
        </w:rPr>
        <w:t>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Company is liable to pay the following future benefits to its non-executive employees upon their normal retirement age (in thousands):</w:t>
      </w:r>
    </w:p>
    <w:p>
      <w:pPr>
        <w:spacing w:after="0" w:line="143"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w:t>
            </w:r>
          </w:p>
        </w:tc>
      </w:tr>
      <w:tr>
        <w:trPr>
          <w:trHeight w:val="173"/>
        </w:trPr>
        <w:tc>
          <w:tcPr>
            <w:tcW w:w="2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60" w:type="dxa"/>
            <w:vAlign w:val="bottom"/>
          </w:tcPr>
          <w:p>
            <w:pPr>
              <w:spacing w:after="0"/>
              <w:rPr>
                <w:sz w:val="15"/>
                <w:szCs w:val="15"/>
                <w:color w:val="auto"/>
              </w:rPr>
            </w:pPr>
          </w:p>
        </w:tc>
      </w:tr>
      <w:tr>
        <w:trPr>
          <w:trHeight w:val="183"/>
        </w:trPr>
        <w:tc>
          <w:tcPr>
            <w:tcW w:w="2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2027</w:t>
            </w:r>
          </w:p>
        </w:tc>
        <w:tc>
          <w:tcPr>
            <w:tcW w:w="20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379</w:t>
            </w:r>
          </w:p>
        </w:tc>
        <w:tc>
          <w:tcPr>
            <w:tcW w:w="60" w:type="dxa"/>
            <w:vAlign w:val="bottom"/>
            <w:shd w:val="clear" w:color="auto" w:fill="CFF0FC"/>
          </w:tcPr>
          <w:p>
            <w:pPr>
              <w:spacing w:after="0"/>
              <w:rPr>
                <w:sz w:val="15"/>
                <w:szCs w:val="15"/>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20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2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20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1,683</w:t>
            </w:r>
          </w:p>
        </w:tc>
        <w:tc>
          <w:tcPr>
            <w:tcW w:w="60" w:type="dxa"/>
            <w:vAlign w:val="bottom"/>
            <w:shd w:val="clear" w:color="auto" w:fill="CFF0FC"/>
          </w:tcPr>
          <w:p>
            <w:pPr>
              <w:spacing w:after="0"/>
              <w:rPr>
                <w:sz w:val="16"/>
                <w:szCs w:val="16"/>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2030</w:t>
            </w:r>
          </w:p>
        </w:tc>
        <w:tc>
          <w:tcPr>
            <w:tcW w:w="20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2,113</w:t>
            </w:r>
          </w:p>
        </w:tc>
        <w:tc>
          <w:tcPr>
            <w:tcW w:w="60" w:type="dxa"/>
            <w:vAlign w:val="bottom"/>
          </w:tcPr>
          <w:p>
            <w:pPr>
              <w:spacing w:after="0"/>
              <w:rPr>
                <w:sz w:val="16"/>
                <w:szCs w:val="16"/>
                <w:color w:val="auto"/>
              </w:rPr>
            </w:pPr>
          </w:p>
        </w:tc>
      </w:tr>
      <w:tr>
        <w:trPr>
          <w:trHeight w:val="189"/>
        </w:trPr>
        <w:tc>
          <w:tcPr>
            <w:tcW w:w="2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2031</w:t>
            </w:r>
          </w:p>
        </w:tc>
        <w:tc>
          <w:tcPr>
            <w:tcW w:w="20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3,092</w:t>
            </w:r>
          </w:p>
        </w:tc>
        <w:tc>
          <w:tcPr>
            <w:tcW w:w="60" w:type="dxa"/>
            <w:vAlign w:val="bottom"/>
            <w:shd w:val="clear" w:color="auto" w:fill="CFF0FC"/>
          </w:tcPr>
          <w:p>
            <w:pPr>
              <w:spacing w:after="0"/>
              <w:rPr>
                <w:sz w:val="16"/>
                <w:szCs w:val="16"/>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2032 – 2037</w:t>
            </w: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90"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Korea’s mandatory retirement age is 60 years of age or older under the Employment Promotion for the Aged Act. The Company sets the retirement age of employees at 60.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Borrowings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Borrowings as of March 31, 2026 and December 31, 2025 are as follows (in thousands):</w:t>
      </w:r>
    </w:p>
    <w:p>
      <w:pPr>
        <w:spacing w:after="0" w:line="19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83"/>
        </w:trPr>
        <w:tc>
          <w:tcPr>
            <w:tcW w:w="39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Term Loan due March 2027</w:t>
            </w:r>
          </w:p>
        </w:tc>
        <w:tc>
          <w:tcPr>
            <w:tcW w:w="7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26,431</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27,877</w:t>
            </w:r>
          </w:p>
        </w:tc>
        <w:tc>
          <w:tcPr>
            <w:tcW w:w="60" w:type="dxa"/>
            <w:vAlign w:val="bottom"/>
            <w:shd w:val="clear" w:color="auto" w:fill="CFF0FC"/>
          </w:tcPr>
          <w:p>
            <w:pPr>
              <w:spacing w:after="0"/>
              <w:rPr>
                <w:sz w:val="15"/>
                <w:szCs w:val="15"/>
                <w:color w:val="auto"/>
              </w:rPr>
            </w:pPr>
          </w:p>
        </w:tc>
      </w:tr>
      <w:tr>
        <w:trPr>
          <w:trHeight w:val="189"/>
        </w:trPr>
        <w:tc>
          <w:tcPr>
            <w:tcW w:w="3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CAPEX Loans due June 2035</w:t>
            </w:r>
          </w:p>
        </w:tc>
        <w:tc>
          <w:tcPr>
            <w:tcW w:w="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15,855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16,722</w:t>
            </w:r>
          </w:p>
        </w:tc>
        <w:tc>
          <w:tcPr>
            <w:tcW w:w="60" w:type="dxa"/>
            <w:vAlign w:val="bottom"/>
          </w:tcPr>
          <w:p>
            <w:pPr>
              <w:spacing w:after="0"/>
              <w:rPr>
                <w:sz w:val="16"/>
                <w:szCs w:val="16"/>
                <w:color w:val="auto"/>
              </w:rPr>
            </w:pPr>
          </w:p>
        </w:tc>
      </w:tr>
      <w:tr>
        <w:trPr>
          <w:trHeight w:val="183"/>
        </w:trPr>
        <w:tc>
          <w:tcPr>
            <w:tcW w:w="3960" w:type="dxa"/>
            <w:vAlign w:val="bottom"/>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borrowings</w:t>
            </w:r>
          </w:p>
        </w:tc>
        <w:tc>
          <w:tcPr>
            <w:tcW w:w="7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42,286</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44,599</w:t>
            </w:r>
          </w:p>
        </w:tc>
        <w:tc>
          <w:tcPr>
            <w:tcW w:w="60" w:type="dxa"/>
            <w:vAlign w:val="bottom"/>
            <w:shd w:val="clear" w:color="auto" w:fill="CFF0FC"/>
          </w:tcPr>
          <w:p>
            <w:pPr>
              <w:spacing w:after="0"/>
              <w:rPr>
                <w:sz w:val="15"/>
                <w:szCs w:val="15"/>
                <w:color w:val="auto"/>
              </w:rPr>
            </w:pPr>
          </w:p>
        </w:tc>
      </w:tr>
      <w:tr>
        <w:trPr>
          <w:trHeight w:val="189"/>
        </w:trPr>
        <w:tc>
          <w:tcPr>
            <w:tcW w:w="3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current portion of long-term borrowings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(26,431)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23"/>
        </w:trPr>
        <w:tc>
          <w:tcPr>
            <w:tcW w:w="3960" w:type="dxa"/>
            <w:vAlign w:val="bottom"/>
            <w:tcBorders>
              <w:bottom w:val="single" w:sz="8" w:color="CFF0FC"/>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Long-term borrowings</w:t>
            </w: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15,855</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44,599</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-25400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-8255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-25400</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-8255</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08" w:lineRule="exact"/>
        <w:rPr>
          <w:sz w:val="20"/>
          <w:szCs w:val="20"/>
          <w:color w:val="auto"/>
        </w:rPr>
      </w:pPr>
    </w:p>
    <w:p>
      <w:pPr>
        <w:ind w:right="100" w:firstLine="441"/>
        <w:spacing w:after="0" w:line="239" w:lineRule="auto"/>
        <w:rPr>
          <w:sz w:val="20"/>
          <w:szCs w:val="20"/>
          <w:color w:val="auto"/>
        </w:rPr>
      </w:pPr>
      <w:r>
        <w:rPr>
          <w:rFonts w:ascii="Times New Roman" w:cs="Times New Roman" w:eastAsia="Times New Roman" w:hAnsi="Times New Roman"/>
          <w:sz w:val="18"/>
          <w:szCs w:val="18"/>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spacing w:after="0" w:line="171" w:lineRule="exact"/>
        <w:rPr>
          <w:sz w:val="20"/>
          <w:szCs w:val="20"/>
          <w:color w:val="auto"/>
        </w:rPr>
      </w:pPr>
    </w:p>
    <w:p>
      <w:pPr>
        <w:ind w:right="260" w:firstLine="441"/>
        <w:spacing w:after="0" w:line="250" w:lineRule="auto"/>
        <w:rPr>
          <w:sz w:val="20"/>
          <w:szCs w:val="20"/>
          <w:color w:val="auto"/>
        </w:rPr>
      </w:pPr>
      <w:r>
        <w:rPr>
          <w:rFonts w:ascii="Times New Roman" w:cs="Times New Roman" w:eastAsia="Times New Roman" w:hAnsi="Times New Roman"/>
          <w:sz w:val="18"/>
          <w:szCs w:val="18"/>
          <w:color w:val="auto"/>
        </w:rPr>
        <w:t>The Loan Agreement provides for a working capital term loan (the “Term Loan”) of KRW 40,000,000,000 (approximately $29,835 thousand based on the KRW/USD exchange rate of 1,340.7:1 as of March 26, 2024 as quoted by KEB Hana Bank), which was funded in full to MSK on March 26, 2024.</w:t>
      </w:r>
    </w:p>
    <w:p>
      <w:pPr>
        <w:spacing w:after="0" w:line="163" w:lineRule="exact"/>
        <w:rPr>
          <w:sz w:val="20"/>
          <w:szCs w:val="20"/>
          <w:color w:val="auto"/>
        </w:rPr>
      </w:pPr>
    </w:p>
    <w:p>
      <w:pPr>
        <w:ind w:firstLine="441"/>
        <w:spacing w:after="0"/>
        <w:rPr>
          <w:sz w:val="20"/>
          <w:szCs w:val="20"/>
          <w:color w:val="auto"/>
        </w:rPr>
      </w:pPr>
      <w:r>
        <w:rPr>
          <w:rFonts w:ascii="Times New Roman" w:cs="Times New Roman" w:eastAsia="Times New Roman" w:hAnsi="Times New Roman"/>
          <w:sz w:val="18"/>
          <w:szCs w:val="18"/>
          <w:color w:val="auto"/>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spacing w:after="0" w:line="185"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As of March 31, 2026, approximately $26,431 thousand aggregate principal amount of the Term Loan was outstanding, bearing interest at a variable rate of 4.06% per annum as of that date.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CAPEX Loans</w:t>
      </w:r>
    </w:p>
    <w:p>
      <w:pPr>
        <w:spacing w:after="0" w:line="108" w:lineRule="exact"/>
        <w:rPr>
          <w:sz w:val="20"/>
          <w:szCs w:val="20"/>
          <w:color w:val="auto"/>
        </w:rPr>
      </w:pPr>
    </w:p>
    <w:p>
      <w:pPr>
        <w:ind w:right="80" w:firstLine="441"/>
        <w:spacing w:after="0" w:line="238" w:lineRule="auto"/>
        <w:rPr>
          <w:sz w:val="20"/>
          <w:szCs w:val="20"/>
          <w:color w:val="auto"/>
        </w:rPr>
      </w:pPr>
      <w:r>
        <w:rPr>
          <w:rFonts w:ascii="Times New Roman" w:cs="Times New Roman" w:eastAsia="Times New Roman" w:hAnsi="Times New Roman"/>
          <w:sz w:val="18"/>
          <w:szCs w:val="18"/>
          <w:color w:val="auto"/>
        </w:rPr>
        <w:t>On December 16, 2024, MSK executed a Standard Credit Agreement (as amended) (together with its General Terms and Conditions, the “Equipment Financing Credit Agreement”) with KDB. In connection with the Equipment Financing Credit Agreement, on December 8, 2024, MSK also amended the Kun-Pledge Agreement (the “Equipment Pledge Agreement”) with KDB, originally executed on or about March 26, 2024, to increase the maximum secured amount and to expand the scope of collateral to include certain machinery and equipment owned by MSK, which are located in its fabrication facility located in Gumi, Korea (“Fab 3 machinery and equipment”).</w:t>
      </w:r>
    </w:p>
    <w:p>
      <w:pPr>
        <w:sectPr>
          <w:pgSz w:w="11900" w:h="16838" w:orient="portrait"/>
          <w:cols w:equalWidth="0" w:num="1">
            <w:col w:w="9700"/>
          </w:cols>
          <w:pgMar w:left="1080" w:top="117" w:right="111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120" w:firstLine="441"/>
        <w:spacing w:after="0" w:line="246" w:lineRule="auto"/>
        <w:rPr>
          <w:sz w:val="20"/>
          <w:szCs w:val="20"/>
          <w:color w:val="auto"/>
        </w:rPr>
      </w:pPr>
      <w:r>
        <w:rPr>
          <w:rFonts w:ascii="Times New Roman" w:cs="Times New Roman" w:eastAsia="Times New Roman" w:hAnsi="Times New Roman"/>
          <w:sz w:val="18"/>
          <w:szCs w:val="18"/>
          <w:color w:val="auto"/>
        </w:rPr>
        <w:t>The Equipment Financing Credit Agreement provides for loans for MSK’s capital expenditures (the “CAPEX Loans”) up to an aggregate of KRW 38,000,000,000 ($26,523 thousand based on the KRW/USD exchange rate of 1,432.7:1 as of December 16, 2024 as quoted by KEB Hana Bank), which have been and will be funded directly to capital expenditure supply vendors by KDB upon the submission of a request form by MSK with the necessary evidence such as purchase agreement, invoice and other documentation, as applicable.</w:t>
      </w:r>
    </w:p>
    <w:p>
      <w:pPr>
        <w:spacing w:after="0" w:line="181" w:lineRule="exact"/>
        <w:rPr>
          <w:sz w:val="20"/>
          <w:szCs w:val="20"/>
          <w:color w:val="auto"/>
        </w:rPr>
      </w:pPr>
    </w:p>
    <w:p>
      <w:pPr>
        <w:ind w:right="20" w:firstLine="441"/>
        <w:spacing w:after="0" w:line="243" w:lineRule="auto"/>
        <w:rPr>
          <w:sz w:val="20"/>
          <w:szCs w:val="20"/>
          <w:color w:val="auto"/>
        </w:rPr>
      </w:pPr>
      <w:r>
        <w:rPr>
          <w:rFonts w:ascii="Times New Roman" w:cs="Times New Roman" w:eastAsia="Times New Roman" w:hAnsi="Times New Roman"/>
          <w:sz w:val="18"/>
          <w:szCs w:val="18"/>
          <w:color w:val="auto"/>
        </w:rPr>
        <w:t>The CAPEX Loans bear interest at a fixed rate quoted by the treasury bond market yield (a six-year Korea treasury bill rate). The CAPEX Loans mature in ten years from the initial loan disbursement date (the “Maturity Date”), with an initial two-year (measured from the first loan disbursement date) interest-only payment period during which only interest is paid monthly, followed by eight years of amortizing payments where the principal is repaid in equal installments every three months and interest is paid monthly. The Equipment Financing Credit Agreement contains customary representations of MSK in connection with the execution of the agreement and with each borrowing of the CAPEX Loans and customary terms and conditions for a secured equipment financing loan of this type in Korea. All obligations of MSK under the Equipment Financing Credit Agreement and the CAPEX Loans are secured by certain Fab 3 machinery and equipment pursuant to the Equipment Pledge Agreement.</w:t>
      </w:r>
    </w:p>
    <w:p>
      <w:pPr>
        <w:spacing w:after="0" w:line="200" w:lineRule="exact"/>
        <w:rPr>
          <w:sz w:val="20"/>
          <w:szCs w:val="20"/>
          <w:color w:val="auto"/>
        </w:rPr>
      </w:pPr>
    </w:p>
    <w:p>
      <w:pPr>
        <w:ind w:right="160" w:firstLine="441"/>
        <w:spacing w:after="0" w:line="246" w:lineRule="auto"/>
        <w:rPr>
          <w:sz w:val="20"/>
          <w:szCs w:val="20"/>
          <w:color w:val="auto"/>
        </w:rPr>
      </w:pPr>
      <w:r>
        <w:rPr>
          <w:rFonts w:ascii="Times New Roman" w:cs="Times New Roman" w:eastAsia="Times New Roman" w:hAnsi="Times New Roman"/>
          <w:sz w:val="18"/>
          <w:szCs w:val="18"/>
          <w:color w:val="auto"/>
        </w:rPr>
        <w:t>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(approximately $15,855 thousand in the aggregate based on the KRW/USD exchange rate of 1,513.4:1 as of March 31, 2026, as quoted by KEB Hana Bank). The CAPEX Loans bear a weighted average interest rate of 2.91% per annum and mature on June 26, 2035.</w:t>
      </w:r>
    </w:p>
    <w:p>
      <w:pPr>
        <w:spacing w:after="0" w:line="181"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As of March 31, 2026, the aggregate principal amount outstanding under the CAPEX Loans was approximately $15,855 thousand, and the scheduled principal repayment amounts are as following (in thousands):</w:t>
      </w:r>
    </w:p>
    <w:p>
      <w:pPr>
        <w:spacing w:after="0" w:line="116"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73"/>
        </w:trPr>
        <w:tc>
          <w:tcPr>
            <w:tcW w:w="3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60" w:type="dxa"/>
            <w:vAlign w:val="bottom"/>
          </w:tcPr>
          <w:p>
            <w:pPr>
              <w:spacing w:after="0"/>
              <w:rPr>
                <w:sz w:val="15"/>
                <w:szCs w:val="15"/>
                <w:color w:val="auto"/>
              </w:rPr>
            </w:pPr>
          </w:p>
        </w:tc>
      </w:tr>
      <w:tr>
        <w:trPr>
          <w:trHeight w:val="183"/>
        </w:trPr>
        <w:tc>
          <w:tcPr>
            <w:tcW w:w="3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Remainder of 2026</w:t>
            </w:r>
          </w:p>
        </w:tc>
        <w:tc>
          <w:tcPr>
            <w:tcW w:w="178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17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6"/>
                <w:szCs w:val="16"/>
                <w:color w:val="auto"/>
              </w:rPr>
            </w:pPr>
          </w:p>
        </w:tc>
      </w:tr>
      <w:tr>
        <w:trPr>
          <w:trHeight w:val="189"/>
        </w:trPr>
        <w:tc>
          <w:tcPr>
            <w:tcW w:w="3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17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1,982</w:t>
            </w:r>
          </w:p>
        </w:tc>
        <w:tc>
          <w:tcPr>
            <w:tcW w:w="60" w:type="dxa"/>
            <w:vAlign w:val="bottom"/>
            <w:shd w:val="clear" w:color="auto" w:fill="CFF0FC"/>
          </w:tcPr>
          <w:p>
            <w:pPr>
              <w:spacing w:after="0"/>
              <w:rPr>
                <w:sz w:val="16"/>
                <w:szCs w:val="16"/>
                <w:color w:val="auto"/>
              </w:rPr>
            </w:pPr>
          </w:p>
        </w:tc>
      </w:tr>
      <w:tr>
        <w:trPr>
          <w:trHeight w:val="189"/>
        </w:trPr>
        <w:tc>
          <w:tcPr>
            <w:tcW w:w="3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178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1,982</w:t>
            </w:r>
          </w:p>
        </w:tc>
        <w:tc>
          <w:tcPr>
            <w:tcW w:w="60" w:type="dxa"/>
            <w:vAlign w:val="bottom"/>
          </w:tcPr>
          <w:p>
            <w:pPr>
              <w:spacing w:after="0"/>
              <w:rPr>
                <w:sz w:val="16"/>
                <w:szCs w:val="16"/>
                <w:color w:val="auto"/>
              </w:rPr>
            </w:pPr>
          </w:p>
        </w:tc>
      </w:tr>
      <w:tr>
        <w:trPr>
          <w:trHeight w:val="189"/>
        </w:trPr>
        <w:tc>
          <w:tcPr>
            <w:tcW w:w="30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2030</w:t>
            </w:r>
          </w:p>
        </w:tc>
        <w:tc>
          <w:tcPr>
            <w:tcW w:w="17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1,982</w:t>
            </w:r>
          </w:p>
        </w:tc>
        <w:tc>
          <w:tcPr>
            <w:tcW w:w="60" w:type="dxa"/>
            <w:vAlign w:val="bottom"/>
            <w:shd w:val="clear" w:color="auto" w:fill="CFF0FC"/>
          </w:tcPr>
          <w:p>
            <w:pPr>
              <w:spacing w:after="0"/>
              <w:rPr>
                <w:sz w:val="16"/>
                <w:szCs w:val="16"/>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2031 – 2035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6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Foreign Currency Loss, Net</w:t>
      </w:r>
    </w:p>
    <w:p>
      <w:pPr>
        <w:spacing w:after="0" w:line="121" w:lineRule="exact"/>
        <w:rPr>
          <w:sz w:val="20"/>
          <w:szCs w:val="20"/>
          <w:color w:val="auto"/>
        </w:rPr>
      </w:pPr>
    </w:p>
    <w:p>
      <w:pPr>
        <w:ind w:firstLine="441"/>
        <w:spacing w:after="0" w:line="242" w:lineRule="auto"/>
        <w:rPr>
          <w:sz w:val="20"/>
          <w:szCs w:val="20"/>
          <w:color w:val="auto"/>
        </w:rPr>
      </w:pPr>
      <w:r>
        <w:rPr>
          <w:rFonts w:ascii="Times New Roman" w:cs="Times New Roman" w:eastAsia="Times New Roman" w:hAnsi="Times New Roman"/>
          <w:sz w:val="18"/>
          <w:szCs w:val="18"/>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MSK, the Company’s Korean subsidiary. The loans are denominated in U.S. dollars and are affected by changes in the exchange rate between the Korean won and the U.S. dollar. As of March 31, 2026 and December 31, 2025, the outstanding intercompany loan balances including accrued interest between MSK and the Dutch subsidiary were $76,000 thousand and $75,063 thousand, respectively. The Korean won to U.S. dollar exchange rates were 1,513.4:1 and 1,434.9:1 using the first base rate as of March 31, 2026 and December 31, 2025, respectively, as quoted by the KEB Hana Bank.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and its subsidiaries file income tax returns in Korea, Japan, Taiwan, the U.S. and in various other jurisdictions.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income or non-income tax examinations by tax authorities of these jurisdictions for all open tax years.</w:t>
      </w:r>
    </w:p>
    <w:p>
      <w:pPr>
        <w:spacing w:after="0" w:line="205"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income tax benefits of $1,908 thousand and $401 thousand, respectively, primarily related to its primary operating entity in Korea, based on the estimated taxable loss for each respective period.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 and Other Information</w:t>
      </w:r>
    </w:p>
    <w:p>
      <w:pPr>
        <w:spacing w:after="0" w:line="108" w:lineRule="exact"/>
        <w:rPr>
          <w:sz w:val="20"/>
          <w:szCs w:val="20"/>
          <w:color w:val="auto"/>
        </w:rPr>
      </w:pPr>
    </w:p>
    <w:p>
      <w:pPr>
        <w:ind w:right="520" w:firstLine="441"/>
        <w:spacing w:after="0" w:line="266" w:lineRule="auto"/>
        <w:rPr>
          <w:sz w:val="20"/>
          <w:szCs w:val="20"/>
          <w:color w:val="auto"/>
        </w:rPr>
      </w:pPr>
      <w:r>
        <w:rPr>
          <w:rFonts w:ascii="Times New Roman" w:cs="Times New Roman" w:eastAsia="Times New Roman" w:hAnsi="Times New Roman"/>
          <w:sz w:val="18"/>
          <w:szCs w:val="18"/>
          <w:color w:val="auto"/>
        </w:rPr>
        <w:t>The Company operates within a single operating segment, Power Solutions business, which consists of the Power Analog Solutions and Power IC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firstLine="441"/>
        <w:spacing w:after="0" w:line="250" w:lineRule="auto"/>
        <w:rPr>
          <w:sz w:val="20"/>
          <w:szCs w:val="20"/>
          <w:color w:val="auto"/>
        </w:rPr>
      </w:pPr>
      <w:r>
        <w:rPr>
          <w:rFonts w:ascii="Times New Roman" w:cs="Times New Roman" w:eastAsia="Times New Roman" w:hAnsi="Times New Roman"/>
          <w:sz w:val="18"/>
          <w:szCs w:val="18"/>
          <w:color w:val="auto"/>
        </w:rPr>
        <w:t>The Chief Executive Officer, as the chief operating decision maker (“CODM”), organizes the Company and measures performance of two business lines of Power Analog Solutions and Power IC in the Power Solutions business at the level of revenue and gross profit margin by comparing actual results against previously forecasted targets.</w:t>
      </w:r>
    </w:p>
    <w:p>
      <w:pPr>
        <w:spacing w:after="0" w:line="190"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Company’s CODM does not evaluate the performance of each business line using any other information, such as asset or liability.</w:t>
      </w:r>
    </w:p>
    <w:p>
      <w:pPr>
        <w:spacing w:after="0" w:line="162"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following sets forth information relating to the operating segment, Power Solutions business (in thousands). For financial information below gross profit, including operating income and expenses as well as other income and expenses, please refer to the Company’s consolidated statements of operations.</w:t>
      </w:r>
    </w:p>
    <w:p>
      <w:pPr>
        <w:spacing w:after="0" w:line="163"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4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Power Solutions business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Analog Solutions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41,647</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39,857</w:t>
            </w:r>
          </w:p>
        </w:tc>
        <w:tc>
          <w:tcPr>
            <w:tcW w:w="60" w:type="dxa"/>
            <w:vAlign w:val="bottom"/>
            <w:shd w:val="clear" w:color="auto" w:fill="CFF0FC"/>
          </w:tcPr>
          <w:p>
            <w:pPr>
              <w:spacing w:after="0"/>
              <w:rPr>
                <w:sz w:val="16"/>
                <w:szCs w:val="16"/>
                <w:color w:val="auto"/>
              </w:rPr>
            </w:pPr>
          </w:p>
        </w:tc>
      </w:tr>
      <w:tr>
        <w:trPr>
          <w:trHeight w:val="189"/>
        </w:trPr>
        <w:tc>
          <w:tcPr>
            <w:tcW w:w="46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IC</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4,561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4,865</w:t>
            </w:r>
          </w:p>
        </w:tc>
        <w:tc>
          <w:tcPr>
            <w:tcW w:w="60" w:type="dxa"/>
            <w:vAlign w:val="bottom"/>
          </w:tcPr>
          <w:p>
            <w:pPr>
              <w:spacing w:after="0"/>
              <w:rPr>
                <w:sz w:val="16"/>
                <w:szCs w:val="16"/>
                <w:color w:val="auto"/>
              </w:rPr>
            </w:pPr>
          </w:p>
        </w:tc>
      </w:tr>
      <w:tr>
        <w:trPr>
          <w:trHeight w:val="183"/>
        </w:trPr>
        <w:tc>
          <w:tcPr>
            <w:tcW w:w="4620" w:type="dxa"/>
            <w:vAlign w:val="bottom"/>
            <w:tcBorders>
              <w:bottom w:val="single" w:sz="8" w:color="CFF0FC"/>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Power Solutions business</w:t>
            </w: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46,208</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44,722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83"/>
        </w:trPr>
        <w:tc>
          <w:tcPr>
            <w:tcW w:w="462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46,208</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44,722</w:t>
            </w:r>
          </w:p>
        </w:tc>
        <w:tc>
          <w:tcPr>
            <w:tcW w:w="60" w:type="dxa"/>
            <w:vAlign w:val="bottom"/>
          </w:tcPr>
          <w:p>
            <w:pPr>
              <w:spacing w:after="0"/>
              <w:rPr>
                <w:sz w:val="15"/>
                <w:szCs w:val="15"/>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Cost of Sales</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4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Power Solutions business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Analog Solutions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36,296</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32,757</w:t>
            </w:r>
          </w:p>
        </w:tc>
        <w:tc>
          <w:tcPr>
            <w:tcW w:w="60" w:type="dxa"/>
            <w:vAlign w:val="bottom"/>
            <w:shd w:val="clear" w:color="auto" w:fill="CFF0FC"/>
          </w:tcPr>
          <w:p>
            <w:pPr>
              <w:spacing w:after="0"/>
              <w:rPr>
                <w:sz w:val="16"/>
                <w:szCs w:val="16"/>
                <w:color w:val="auto"/>
              </w:rPr>
            </w:pPr>
          </w:p>
        </w:tc>
      </w:tr>
      <w:tr>
        <w:trPr>
          <w:trHeight w:val="189"/>
        </w:trPr>
        <w:tc>
          <w:tcPr>
            <w:tcW w:w="46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IC</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2,718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2,603</w:t>
            </w:r>
          </w:p>
        </w:tc>
        <w:tc>
          <w:tcPr>
            <w:tcW w:w="60" w:type="dxa"/>
            <w:vAlign w:val="bottom"/>
          </w:tcPr>
          <w:p>
            <w:pPr>
              <w:spacing w:after="0"/>
              <w:rPr>
                <w:sz w:val="16"/>
                <w:szCs w:val="16"/>
                <w:color w:val="auto"/>
              </w:rPr>
            </w:pPr>
          </w:p>
        </w:tc>
      </w:tr>
      <w:tr>
        <w:trPr>
          <w:trHeight w:val="183"/>
        </w:trPr>
        <w:tc>
          <w:tcPr>
            <w:tcW w:w="4620" w:type="dxa"/>
            <w:vAlign w:val="bottom"/>
            <w:tcBorders>
              <w:bottom w:val="single" w:sz="8" w:color="CFF0FC"/>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Power Solutions business</w:t>
            </w: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39,014</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35,360</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83"/>
        </w:trPr>
        <w:tc>
          <w:tcPr>
            <w:tcW w:w="462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39,014</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35,360</w:t>
            </w:r>
          </w:p>
        </w:tc>
        <w:tc>
          <w:tcPr>
            <w:tcW w:w="60" w:type="dxa"/>
            <w:vAlign w:val="bottom"/>
          </w:tcPr>
          <w:p>
            <w:pPr>
              <w:spacing w:after="0"/>
              <w:rPr>
                <w:sz w:val="15"/>
                <w:szCs w:val="15"/>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2"/>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46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Power Solutions business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Analog Solutions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5,351</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7,100</w:t>
            </w:r>
          </w:p>
        </w:tc>
        <w:tc>
          <w:tcPr>
            <w:tcW w:w="60" w:type="dxa"/>
            <w:vAlign w:val="bottom"/>
            <w:shd w:val="clear" w:color="auto" w:fill="CFF0FC"/>
          </w:tcPr>
          <w:p>
            <w:pPr>
              <w:spacing w:after="0"/>
              <w:rPr>
                <w:sz w:val="16"/>
                <w:szCs w:val="16"/>
                <w:color w:val="auto"/>
              </w:rPr>
            </w:pPr>
          </w:p>
        </w:tc>
      </w:tr>
      <w:tr>
        <w:trPr>
          <w:trHeight w:val="189"/>
        </w:trPr>
        <w:tc>
          <w:tcPr>
            <w:tcW w:w="46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IC</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1,843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2,262</w:t>
            </w:r>
          </w:p>
        </w:tc>
        <w:tc>
          <w:tcPr>
            <w:tcW w:w="60" w:type="dxa"/>
            <w:vAlign w:val="bottom"/>
          </w:tcPr>
          <w:p>
            <w:pPr>
              <w:spacing w:after="0"/>
              <w:rPr>
                <w:sz w:val="16"/>
                <w:szCs w:val="16"/>
                <w:color w:val="auto"/>
              </w:rPr>
            </w:pPr>
          </w:p>
        </w:tc>
      </w:tr>
      <w:tr>
        <w:trPr>
          <w:trHeight w:val="183"/>
        </w:trPr>
        <w:tc>
          <w:tcPr>
            <w:tcW w:w="4620" w:type="dxa"/>
            <w:vAlign w:val="bottom"/>
            <w:tcBorders>
              <w:bottom w:val="single" w:sz="8" w:color="CFF0FC"/>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Power Solutions business</w:t>
            </w: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7,194</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9,362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83"/>
        </w:trPr>
        <w:tc>
          <w:tcPr>
            <w:tcW w:w="462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7,194</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9,362</w:t>
            </w:r>
          </w:p>
        </w:tc>
        <w:tc>
          <w:tcPr>
            <w:tcW w:w="60" w:type="dxa"/>
            <w:vAlign w:val="bottom"/>
          </w:tcPr>
          <w:p>
            <w:pPr>
              <w:spacing w:after="0"/>
              <w:rPr>
                <w:sz w:val="15"/>
                <w:szCs w:val="15"/>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-2536825</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-2536825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-1345565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-1345565</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-153670</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-153670</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640" w:firstLine="441"/>
        <w:spacing w:after="0" w:line="266" w:lineRule="auto"/>
        <w:rPr>
          <w:sz w:val="20"/>
          <w:szCs w:val="20"/>
          <w:color w:val="auto"/>
        </w:rPr>
      </w:pPr>
      <w:r>
        <w:rPr>
          <w:rFonts w:ascii="Times New Roman" w:cs="Times New Roman" w:eastAsia="Times New Roman" w:hAnsi="Times New Roman"/>
          <w:sz w:val="18"/>
          <w:szCs w:val="18"/>
          <w:color w:val="auto"/>
        </w:rPr>
        <w:t>The following is a summary of net sales by geographic region, based on the location to which the products are billed (in thousands):</w:t>
      </w:r>
    </w:p>
    <w:p>
      <w:pPr>
        <w:spacing w:after="0" w:line="15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Korea</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20,666</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21,716</w:t>
            </w:r>
          </w:p>
        </w:tc>
        <w:tc>
          <w:tcPr>
            <w:tcW w:w="60" w:type="dxa"/>
            <w:vAlign w:val="bottom"/>
            <w:shd w:val="clear" w:color="auto" w:fill="CFF0FC"/>
          </w:tcPr>
          <w:p>
            <w:pPr>
              <w:spacing w:after="0"/>
              <w:rPr>
                <w:sz w:val="15"/>
                <w:szCs w:val="15"/>
                <w:color w:val="auto"/>
              </w:rPr>
            </w:pP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Asia Pacific (other than Korea)</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23,587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20,992</w:t>
            </w:r>
          </w:p>
        </w:tc>
        <w:tc>
          <w:tcPr>
            <w:tcW w:w="60" w:type="dxa"/>
            <w:vAlign w:val="bottom"/>
          </w:tcPr>
          <w:p>
            <w:pPr>
              <w:spacing w:after="0"/>
              <w:rPr>
                <w:sz w:val="16"/>
                <w:szCs w:val="16"/>
                <w:color w:val="auto"/>
              </w:rPr>
            </w:pPr>
          </w:p>
        </w:tc>
      </w:tr>
      <w:tr>
        <w:trPr>
          <w:trHeight w:val="189"/>
        </w:trPr>
        <w:tc>
          <w:tcPr>
            <w:tcW w:w="4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1,239</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1,182</w:t>
            </w:r>
          </w:p>
        </w:tc>
        <w:tc>
          <w:tcPr>
            <w:tcW w:w="60" w:type="dxa"/>
            <w:vAlign w:val="bottom"/>
            <w:shd w:val="clear" w:color="auto" w:fill="CFF0FC"/>
          </w:tcPr>
          <w:p>
            <w:pPr>
              <w:spacing w:after="0"/>
              <w:rPr>
                <w:sz w:val="16"/>
                <w:szCs w:val="16"/>
                <w:color w:val="auto"/>
              </w:rPr>
            </w:pP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Europe</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716</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832</w:t>
            </w:r>
          </w:p>
        </w:tc>
        <w:tc>
          <w:tcPr>
            <w:tcW w:w="60" w:type="dxa"/>
            <w:vAlign w:val="bottom"/>
          </w:tcPr>
          <w:p>
            <w:pPr>
              <w:spacing w:after="0"/>
              <w:rPr>
                <w:sz w:val="16"/>
                <w:szCs w:val="16"/>
                <w:color w:val="auto"/>
              </w:rPr>
            </w:pPr>
          </w:p>
        </w:tc>
      </w:tr>
      <w:tr>
        <w:trPr>
          <w:trHeight w:val="223"/>
        </w:trPr>
        <w:tc>
          <w:tcPr>
            <w:tcW w:w="46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46,208</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44,722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-24765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-7620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-24765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of the Company’s net sales in Asia Pacific (other than Korea), net sales in China and Hong Kong together represented 83.8% and 83.1%, respectively, and net sales in Taiwan represented 11.0% and 11.3%, respectively.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800" w:firstLine="441"/>
        <w:spacing w:after="0" w:line="266" w:lineRule="auto"/>
        <w:rPr>
          <w:sz w:val="20"/>
          <w:szCs w:val="20"/>
          <w:color w:val="auto"/>
        </w:rPr>
      </w:pPr>
      <w:r>
        <w:rPr>
          <w:rFonts w:ascii="Times New Roman" w:cs="Times New Roman" w:eastAsia="Times New Roman" w:hAnsi="Times New Roman"/>
          <w:sz w:val="18"/>
          <w:szCs w:val="18"/>
          <w:color w:val="auto"/>
        </w:rPr>
        <w:t>Net sales from the Company’s top ten largest customers accounted for 73.4% and 75.4% for the three months ended March 31, 2026 and 2025, respectively.</w:t>
      </w:r>
    </w:p>
    <w:p>
      <w:pPr>
        <w:spacing w:after="0" w:line="162" w:lineRule="exact"/>
        <w:rPr>
          <w:sz w:val="20"/>
          <w:szCs w:val="20"/>
          <w:color w:val="auto"/>
        </w:rPr>
      </w:pPr>
    </w:p>
    <w:p>
      <w:pPr>
        <w:ind w:left="660" w:right="840" w:firstLine="441"/>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had one customer that represented 31.0% of net sales. For the three months ended March 31, 2025, the Company had one customer that represented 32.9% of net sales.</w:t>
      </w:r>
    </w:p>
    <w:p>
      <w:pPr>
        <w:spacing w:after="0" w:line="148" w:lineRule="exact"/>
        <w:rPr>
          <w:sz w:val="20"/>
          <w:szCs w:val="20"/>
          <w:color w:val="auto"/>
        </w:rPr>
      </w:pPr>
    </w:p>
    <w:p>
      <w:pPr>
        <w:ind w:left="660" w:right="820" w:firstLine="441"/>
        <w:spacing w:after="0" w:line="266" w:lineRule="auto"/>
        <w:rPr>
          <w:sz w:val="20"/>
          <w:szCs w:val="20"/>
          <w:color w:val="auto"/>
        </w:rPr>
      </w:pPr>
      <w:r>
        <w:rPr>
          <w:rFonts w:ascii="Times New Roman" w:cs="Times New Roman" w:eastAsia="Times New Roman" w:hAnsi="Times New Roman"/>
          <w:sz w:val="18"/>
          <w:szCs w:val="18"/>
          <w:color w:val="auto"/>
        </w:rPr>
        <w:t>As of March 31, 2026, two customers accounted for 40.6% and 14.6% of the Company’s accounts receivable, respectively. As of December 31, 2025, two customers accounted for 35.4% and 15.7% of the Company’s accounts receivable, respectively.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108" w:lineRule="exact"/>
        <w:rPr>
          <w:sz w:val="20"/>
          <w:szCs w:val="20"/>
          <w:color w:val="auto"/>
        </w:rPr>
      </w:pPr>
    </w:p>
    <w:p>
      <w:pPr>
        <w:ind w:left="660" w:right="740" w:firstLine="441"/>
        <w:spacing w:after="0" w:line="266" w:lineRule="auto"/>
        <w:rPr>
          <w:sz w:val="20"/>
          <w:szCs w:val="20"/>
          <w:color w:val="auto"/>
        </w:rPr>
      </w:pPr>
      <w:r>
        <w:rPr>
          <w:rFonts w:ascii="Times New Roman" w:cs="Times New Roman" w:eastAsia="Times New Roman" w:hAnsi="Times New Roman"/>
          <w:sz w:val="18"/>
          <w:szCs w:val="18"/>
          <w:color w:val="auto"/>
        </w:rPr>
        <w:t>Accumulated other comprehensive loss consists of the following as of March 31, 2026 and December 31, 2025, respectively (in thousands):</w:t>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8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(26,068)</w:t>
            </w:r>
          </w:p>
        </w:tc>
        <w:tc>
          <w:tcPr>
            <w:tcW w:w="200" w:type="dxa"/>
            <w:vAlign w:val="bottom"/>
            <w:shd w:val="clear" w:color="auto" w:fill="CFF0FC"/>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(18,093)</w:t>
            </w: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Derivative adjustments</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(4,183)</w:t>
            </w:r>
          </w:p>
        </w:tc>
        <w:tc>
          <w:tcPr>
            <w:tcW w:w="20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(715)</w:t>
            </w: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(30,251)</w:t>
            </w:r>
          </w:p>
        </w:tc>
        <w:tc>
          <w:tcPr>
            <w:tcW w:w="200" w:type="dxa"/>
            <w:vAlign w:val="bottom"/>
            <w:shd w:val="clear" w:color="auto" w:fill="CFF0FC"/>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(18,808)</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4879340</wp:posOffset>
            </wp:positionH>
            <wp:positionV relativeFrom="paragraph">
              <wp:posOffset>-25400</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-25400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660" w:right="1140" w:firstLine="441"/>
        <w:spacing w:after="0" w:line="266" w:lineRule="auto"/>
        <w:rPr>
          <w:sz w:val="20"/>
          <w:szCs w:val="20"/>
          <w:color w:val="auto"/>
        </w:rPr>
      </w:pPr>
      <w:r>
        <w:rPr>
          <w:rFonts w:ascii="Times New Roman" w:cs="Times New Roman" w:eastAsia="Times New Roman" w:hAnsi="Times New Roman"/>
          <w:sz w:val="18"/>
          <w:szCs w:val="18"/>
          <w:color w:val="auto"/>
        </w:rPr>
        <w:t>Changes in accumulated other comprehensive loss for the three months ended March 31, 2026 and 2025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448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(18,093)</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(715)</w:t>
            </w: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(18,808)</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40" w:type="dxa"/>
            <w:vAlign w:val="bottom"/>
          </w:tcPr>
          <w:p>
            <w:pPr>
              <w:spacing w:after="0"/>
              <w:rPr>
                <w:sz w:val="15"/>
                <w:szCs w:val="15"/>
                <w:color w:val="auto"/>
              </w:rPr>
            </w:pPr>
          </w:p>
        </w:tc>
        <w:tc>
          <w:tcPr>
            <w:tcW w:w="4480" w:type="dxa"/>
            <w:vAlign w:val="bottom"/>
            <w:gridSpan w:val="2"/>
          </w:tcPr>
          <w:p>
            <w:pPr>
              <w:ind w:left="180"/>
              <w:spacing w:after="0" w:line="182" w:lineRule="exact"/>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(7,975)</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(3,693)</w:t>
            </w:r>
          </w:p>
        </w:tc>
        <w:tc>
          <w:tcPr>
            <w:tcW w:w="200" w:type="dxa"/>
            <w:vAlign w:val="bottom"/>
          </w:tcPr>
          <w:p>
            <w:pPr>
              <w:spacing w:after="0"/>
              <w:rPr>
                <w:sz w:val="15"/>
                <w:szCs w:val="15"/>
                <w:color w:val="auto"/>
              </w:rPr>
            </w:pPr>
          </w:p>
        </w:tc>
        <w:tc>
          <w:tcPr>
            <w:tcW w:w="84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(11,668)</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4480" w:type="dxa"/>
            <w:vAlign w:val="bottom"/>
            <w:gridSpan w:val="2"/>
            <w:shd w:val="clear" w:color="auto" w:fill="CFF0FC"/>
          </w:tcPr>
          <w:p>
            <w:pPr>
              <w:ind w:left="180"/>
              <w:spacing w:after="0" w:line="157"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8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FF0FC"/>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8"/>
                <w:szCs w:val="18"/>
                <w:color w:val="auto"/>
              </w:rPr>
            </w:pPr>
          </w:p>
        </w:tc>
        <w:tc>
          <w:tcPr>
            <w:tcW w:w="4480" w:type="dxa"/>
            <w:vAlign w:val="bottom"/>
            <w:tcBorders>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vMerge w:val="continue"/>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44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Net current-period other comprehensive loss</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(7,975)</w:t>
            </w:r>
          </w:p>
        </w:tc>
        <w:tc>
          <w:tcPr>
            <w:tcW w:w="80" w:type="dxa"/>
            <w:vAlign w:val="bottom"/>
          </w:tcPr>
          <w:p>
            <w:pPr>
              <w:spacing w:after="0"/>
              <w:rPr>
                <w:sz w:val="15"/>
                <w:szCs w:val="15"/>
                <w:color w:val="auto"/>
              </w:rPr>
            </w:pPr>
          </w:p>
        </w:tc>
        <w:tc>
          <w:tcPr>
            <w:tcW w:w="104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(3,468)</w:t>
            </w:r>
          </w:p>
        </w:tc>
        <w:tc>
          <w:tcPr>
            <w:tcW w:w="200" w:type="dxa"/>
            <w:vAlign w:val="bottom"/>
          </w:tcPr>
          <w:p>
            <w:pPr>
              <w:spacing w:after="0"/>
              <w:rPr>
                <w:sz w:val="15"/>
                <w:szCs w:val="15"/>
                <w:color w:val="auto"/>
              </w:rPr>
            </w:pPr>
          </w:p>
        </w:tc>
        <w:tc>
          <w:tcPr>
            <w:tcW w:w="84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(11,443)</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40" w:type="dxa"/>
            <w:vAlign w:val="bottom"/>
          </w:tcPr>
          <w:p>
            <w:pPr>
              <w:spacing w:after="0"/>
              <w:rPr>
                <w:sz w:val="19"/>
                <w:szCs w:val="19"/>
                <w:color w:val="auto"/>
              </w:rPr>
            </w:pPr>
          </w:p>
        </w:tc>
        <w:tc>
          <w:tcPr>
            <w:tcW w:w="448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(26,068)</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(4,183)</w:t>
            </w: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(30,251)</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164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21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448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(20,927)</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(966)</w:t>
            </w: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(21,893)</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4480" w:type="dxa"/>
            <w:vAlign w:val="bottom"/>
            <w:tcBorders>
              <w:top w:val="single" w:sz="8" w:color="CFF0FC"/>
            </w:tcBorders>
            <w:gridSpan w:val="2"/>
          </w:tcPr>
          <w:p>
            <w:pPr>
              <w:ind w:left="180"/>
              <w:spacing w:after="0" w:line="182" w:lineRule="exact"/>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755</w:t>
            </w:r>
          </w:p>
        </w:tc>
        <w:tc>
          <w:tcPr>
            <w:tcW w:w="2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891</w:t>
            </w:r>
          </w:p>
        </w:tc>
        <w:tc>
          <w:tcPr>
            <w:tcW w:w="80" w:type="dxa"/>
            <w:vAlign w:val="bottom"/>
            <w:tcBorders>
              <w:top w:val="single" w:sz="8" w:color="CFF0FC"/>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4480" w:type="dxa"/>
            <w:vAlign w:val="bottom"/>
            <w:gridSpan w:val="2"/>
            <w:shd w:val="clear" w:color="auto" w:fill="CFF0FC"/>
          </w:tcPr>
          <w:p>
            <w:pPr>
              <w:ind w:left="180"/>
              <w:spacing w:after="0" w:line="157"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FF0FC"/>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40" w:type="dxa"/>
            <w:vAlign w:val="bottom"/>
          </w:tcPr>
          <w:p>
            <w:pPr>
              <w:spacing w:after="0"/>
              <w:rPr>
                <w:sz w:val="18"/>
                <w:szCs w:val="18"/>
                <w:color w:val="auto"/>
              </w:rPr>
            </w:pPr>
          </w:p>
        </w:tc>
        <w:tc>
          <w:tcPr>
            <w:tcW w:w="4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4480" w:type="dxa"/>
            <w:vAlign w:val="bottom"/>
            <w:tcBorders>
              <w:top w:val="single" w:sz="8" w:color="CFF0FC"/>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755</w:t>
            </w:r>
          </w:p>
        </w:tc>
        <w:tc>
          <w:tcPr>
            <w:tcW w:w="20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661</w:t>
            </w:r>
          </w:p>
        </w:tc>
        <w:tc>
          <w:tcPr>
            <w:tcW w:w="18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1,416</w:t>
            </w:r>
          </w:p>
        </w:tc>
        <w:tc>
          <w:tcPr>
            <w:tcW w:w="80" w:type="dxa"/>
            <w:vAlign w:val="bottom"/>
            <w:tcBorders>
              <w:top w:val="single" w:sz="8" w:color="CFF0FC"/>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448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(20,172)</w:t>
            </w:r>
          </w:p>
        </w:tc>
        <w:tc>
          <w:tcPr>
            <w:tcW w:w="8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(20,477)</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1640" w:type="dxa"/>
            <w:vAlign w:val="bottom"/>
          </w:tcPr>
          <w:p>
            <w:pPr>
              <w:spacing w:after="0"/>
              <w:rPr>
                <w:sz w:val="24"/>
                <w:szCs w:val="24"/>
                <w:color w:val="auto"/>
              </w:rPr>
            </w:pPr>
          </w:p>
        </w:tc>
        <w:tc>
          <w:tcPr>
            <w:tcW w:w="4480" w:type="dxa"/>
            <w:vAlign w:val="bottom"/>
            <w:tcBorders>
              <w:top w:val="single" w:sz="8" w:color="CFF0FC"/>
            </w:tcBorders>
            <w:gridSpan w:val="2"/>
          </w:tcPr>
          <w:p>
            <w:pPr>
              <w:ind w:left="38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6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-2819400</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-2819400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-2819400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-2459355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-2459355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-2459355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-2202180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-2185035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-2202180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-2185035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-2202180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-2185035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-1533525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-1533525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-1533525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-1173480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-1173480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-1173480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-916305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-899795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-916305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5205095</wp:posOffset>
            </wp:positionH>
            <wp:positionV relativeFrom="paragraph">
              <wp:posOffset>-899795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-916305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-899795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Loss Per Share</w:t>
      </w:r>
    </w:p>
    <w:p>
      <w:pPr>
        <w:spacing w:after="0" w:line="121"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computation of basic and diluted loss per common share for the three months ended March 31, 2026 and 2025:</w:t>
      </w:r>
    </w:p>
    <w:p>
      <w:pPr>
        <w:spacing w:after="0" w:line="15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vMerge w:val="continue"/>
          </w:tcPr>
          <w:p>
            <w:pPr>
              <w:spacing w:after="0"/>
              <w:rPr>
                <w:sz w:val="10"/>
                <w:szCs w:val="10"/>
                <w:color w:val="auto"/>
              </w:rPr>
            </w:pP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U.S. dollars,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except share data)</w:t>
            </w: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8"/>
              <w:spacing w:after="0" w:line="189" w:lineRule="exact"/>
              <w:rPr>
                <w:sz w:val="20"/>
                <w:szCs w:val="20"/>
                <w:color w:val="auto"/>
              </w:rPr>
            </w:pPr>
            <w:r>
              <w:rPr>
                <w:rFonts w:ascii="Times New Roman" w:cs="Times New Roman" w:eastAsia="Times New Roman" w:hAnsi="Times New Roman"/>
                <w:sz w:val="18"/>
                <w:szCs w:val="18"/>
                <w:color w:val="auto"/>
              </w:rPr>
              <w:t>(4,697)</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8"/>
              <w:spacing w:after="0" w:line="182" w:lineRule="exact"/>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36,407,581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68"/>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89"/>
        </w:trPr>
        <w:tc>
          <w:tcPr>
            <w:tcW w:w="46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6"/>
                <w:szCs w:val="16"/>
                <w:color w:val="auto"/>
              </w:rPr>
            </w:pP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68"/>
              <w:spacing w:after="0" w:line="182"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70"/>
        </w:trPr>
        <w:tc>
          <w:tcPr>
            <w:tcW w:w="460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68"/>
              <w:spacing w:after="0" w:line="189" w:lineRule="exact"/>
              <w:rPr>
                <w:sz w:val="20"/>
                <w:szCs w:val="20"/>
                <w:color w:val="auto"/>
              </w:rPr>
            </w:pPr>
            <w:r>
              <w:rPr>
                <w:rFonts w:ascii="Times New Roman" w:cs="Times New Roman" w:eastAsia="Times New Roman" w:hAnsi="Times New Roman"/>
                <w:sz w:val="18"/>
                <w:szCs w:val="18"/>
                <w:color w:val="auto"/>
              </w:rPr>
              <w:t>(4,697)</w:t>
            </w:r>
          </w:p>
        </w:tc>
        <w:tc>
          <w:tcPr>
            <w:tcW w:w="1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(4,051)</w:t>
            </w: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(4,827)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68"/>
              <w:spacing w:after="0" w:line="182" w:lineRule="exact"/>
              <w:rPr>
                <w:sz w:val="20"/>
                <w:szCs w:val="20"/>
                <w:color w:val="auto"/>
              </w:rPr>
            </w:pPr>
            <w:r>
              <w:rPr>
                <w:rFonts w:ascii="Times New Roman" w:cs="Times New Roman" w:eastAsia="Times New Roman" w:hAnsi="Times New Roman"/>
                <w:sz w:val="18"/>
                <w:szCs w:val="18"/>
                <w:color w:val="auto"/>
              </w:rPr>
              <w:t>(4,647)</w:t>
            </w:r>
          </w:p>
        </w:tc>
        <w:tc>
          <w:tcPr>
            <w:tcW w:w="1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(8,878)</w:t>
            </w:r>
          </w:p>
        </w:tc>
        <w:tc>
          <w:tcPr>
            <w:tcW w:w="0" w:type="dxa"/>
            <w:vAlign w:val="bottom"/>
          </w:tcPr>
          <w:p>
            <w:pPr>
              <w:spacing w:after="0"/>
              <w:rPr>
                <w:sz w:val="1"/>
                <w:szCs w:val="1"/>
                <w:color w:val="auto"/>
              </w:rPr>
            </w:pPr>
          </w:p>
        </w:tc>
      </w:tr>
      <w:tr>
        <w:trPr>
          <w:trHeight w:val="170"/>
        </w:trPr>
        <w:tc>
          <w:tcPr>
            <w:tcW w:w="460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36,407,581</w:t>
            </w: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effect of dilutive equity awards</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60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36,407,581</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8"/>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8"/>
              <w:spacing w:after="0" w:line="182"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-2185035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-2185035</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-1422400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-1405255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-1422400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-1405255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-908050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-890905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-908050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-890905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-642620</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-642620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-153670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-153670</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ind w:right="20" w:firstLine="441"/>
        <w:spacing w:after="0"/>
        <w:rPr>
          <w:sz w:val="20"/>
          <w:szCs w:val="20"/>
          <w:color w:val="auto"/>
        </w:rPr>
      </w:pPr>
      <w:r>
        <w:rPr>
          <w:rFonts w:ascii="Times New Roman" w:cs="Times New Roman" w:eastAsia="Times New Roman" w:hAnsi="Times New Roman"/>
          <w:sz w:val="18"/>
          <w:szCs w:val="18"/>
          <w:color w:val="auto"/>
        </w:rPr>
        <w:t>Diluted earnings (loss) per common share adjusts basic earnings (loss) per common share for the potentially dilutive impact of stock options and restricted stock units. As the Company has reported loss from continuing operations for the three months ended March 31, 2026 and 2025, all potentially dilutive securities are antidilutive and accordingly not considered, therefore basic loss per common share equals diluted loss per common share.</w:t>
      </w:r>
    </w:p>
    <w:p>
      <w:pPr>
        <w:spacing w:after="0" w:line="18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outstanding instruments were excluded from the computation of diluted loss per common share, as they have an anti-dilutive effect on the calculation:</w:t>
      </w:r>
    </w:p>
    <w:p>
      <w:pPr>
        <w:spacing w:after="0" w:line="142"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1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4640" w:type="dxa"/>
            <w:vAlign w:val="bottom"/>
          </w:tcPr>
          <w:p>
            <w:pPr>
              <w:spacing w:after="0"/>
              <w:rPr>
                <w:sz w:val="10"/>
                <w:szCs w:val="10"/>
                <w:color w:val="auto"/>
              </w:rPr>
            </w:pPr>
          </w:p>
        </w:tc>
        <w:tc>
          <w:tcPr>
            <w:tcW w:w="1000" w:type="dxa"/>
            <w:vAlign w:val="bottom"/>
            <w:tcBorders>
              <w:top w:val="single" w:sz="8" w:color="auto"/>
            </w:tcBorders>
          </w:tcPr>
          <w:p>
            <w:pPr>
              <w:jc w:val="right"/>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 w:type="dxa"/>
            <w:vAlign w:val="bottom"/>
          </w:tcPr>
          <w:p>
            <w:pPr>
              <w:spacing w:after="0"/>
              <w:rPr>
                <w:sz w:val="10"/>
                <w:szCs w:val="10"/>
                <w:color w:val="auto"/>
              </w:rPr>
            </w:pPr>
          </w:p>
        </w:tc>
      </w:tr>
      <w:tr>
        <w:trPr>
          <w:trHeight w:val="173"/>
        </w:trPr>
        <w:tc>
          <w:tcPr>
            <w:tcW w:w="4640" w:type="dxa"/>
            <w:vAlign w:val="bottom"/>
          </w:tcPr>
          <w:p>
            <w:pPr>
              <w:spacing w:after="0"/>
              <w:rPr>
                <w:sz w:val="15"/>
                <w:szCs w:val="15"/>
                <w:color w:val="auto"/>
              </w:rPr>
            </w:pPr>
          </w:p>
        </w:tc>
        <w:tc>
          <w:tcPr>
            <w:tcW w:w="10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183"/>
        </w:trPr>
        <w:tc>
          <w:tcPr>
            <w:tcW w:w="46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Options</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222,448</w:t>
            </w:r>
          </w:p>
        </w:tc>
        <w:tc>
          <w:tcPr>
            <w:tcW w:w="11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728,792</w:t>
            </w:r>
          </w:p>
        </w:tc>
        <w:tc>
          <w:tcPr>
            <w:tcW w:w="60" w:type="dxa"/>
            <w:vAlign w:val="bottom"/>
            <w:shd w:val="clear" w:color="auto" w:fill="CFF0FC"/>
          </w:tcPr>
          <w:p>
            <w:pPr>
              <w:spacing w:after="0"/>
              <w:rPr>
                <w:sz w:val="15"/>
                <w:szCs w:val="15"/>
                <w:color w:val="auto"/>
              </w:rPr>
            </w:pP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1,783,538</w:t>
            </w:r>
          </w:p>
        </w:tc>
        <w:tc>
          <w:tcPr>
            <w:tcW w:w="60" w:type="dxa"/>
            <w:vAlign w:val="bottom"/>
          </w:tcPr>
          <w:p>
            <w:pPr>
              <w:spacing w:after="0"/>
              <w:rPr>
                <w:sz w:val="20"/>
                <w:szCs w:val="20"/>
                <w:color w:val="auto"/>
              </w:rPr>
            </w:pPr>
          </w:p>
        </w:tc>
      </w:tr>
    </w:tbl>
    <w:p>
      <w:pPr>
        <w:spacing w:after="0" w:line="270" w:lineRule="exact"/>
        <w:rPr>
          <w:sz w:val="20"/>
          <w:szCs w:val="20"/>
          <w:color w:val="auto"/>
        </w:rPr>
      </w:pPr>
    </w:p>
    <w:p>
      <w:pPr>
        <w:ind w:right="6740" w:firstLine="4"/>
        <w:spacing w:after="0" w:line="354"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Advances to Suppliers</w:t>
      </w:r>
    </w:p>
    <w:p>
      <w:pPr>
        <w:spacing w:after="0" w:line="1" w:lineRule="exact"/>
        <w:rPr>
          <w:sz w:val="20"/>
          <w:szCs w:val="20"/>
          <w:color w:val="auto"/>
        </w:rPr>
      </w:pPr>
    </w:p>
    <w:p>
      <w:pPr>
        <w:ind w:right="240" w:firstLine="441"/>
        <w:spacing w:after="0" w:line="250" w:lineRule="auto"/>
        <w:rPr>
          <w:sz w:val="20"/>
          <w:szCs w:val="20"/>
          <w:color w:val="auto"/>
        </w:rPr>
      </w:pPr>
      <w:r>
        <w:rPr>
          <w:rFonts w:ascii="Times New Roman" w:cs="Times New Roman" w:eastAsia="Times New Roman" w:hAnsi="Times New Roman"/>
          <w:sz w:val="18"/>
          <w:szCs w:val="18"/>
          <w:color w:val="auto"/>
        </w:rPr>
        <w:t>The Company, from time to time, may make advances in form of prepayments or deposits to suppliers, including external foundries, to meet its planned production. The Company recorded advances of $508 thousand and $512 thousand as other current assets as of March 31, 2026 and December 31, 2025, respectively.</w:t>
      </w:r>
    </w:p>
    <w:p>
      <w:pPr>
        <w:spacing w:after="0" w:line="281" w:lineRule="exact"/>
        <w:rPr>
          <w:sz w:val="20"/>
          <w:szCs w:val="20"/>
          <w:color w:val="auto"/>
        </w:rPr>
      </w:pPr>
    </w:p>
    <w:p>
      <w:pPr>
        <w:ind w:right="7840" w:firstLine="4"/>
        <w:spacing w:after="0" w:line="417" w:lineRule="auto"/>
        <w:tabs>
          <w:tab w:leader="none" w:pos="27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Derivative contracts</w:t>
      </w:r>
    </w:p>
    <w:p>
      <w:pPr>
        <w:spacing w:after="0" w:line="40"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 April 2026, the Company and NFIK entered into derivative contracts of zero cost collars for the period from April 2027 to September 2027. The total notional amounts are $18,000 thousand.</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60"/>
          </w:cols>
          <w:pgMar w:left="1080" w:top="117"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12"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85" w:lineRule="exact"/>
        <w:rPr>
          <w:sz w:val="20"/>
          <w:szCs w:val="20"/>
          <w:color w:val="auto"/>
        </w:rPr>
      </w:pPr>
    </w:p>
    <w:p>
      <w:pPr>
        <w:ind w:right="20" w:firstLine="441"/>
        <w:spacing w:after="0" w:line="242"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10-K for our fiscal year ended December 31, 2025 filed on March 16, 2026 (“2025 Form 10-K”).</w:t>
      </w:r>
    </w:p>
    <w:p>
      <w:pPr>
        <w:spacing w:after="0" w:line="188"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69" w:lineRule="exact"/>
        <w:rPr>
          <w:sz w:val="20"/>
          <w:szCs w:val="20"/>
          <w:color w:val="auto"/>
        </w:rPr>
      </w:pPr>
    </w:p>
    <w:p>
      <w:pPr>
        <w:ind w:right="260" w:firstLine="441"/>
        <w:spacing w:after="0" w:line="258"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80" w:firstLine="441"/>
        <w:spacing w:after="0" w:line="250"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power semiconductor platform solutions for various applications, including industrial, automotive, communication, consumer and computing. We provide a broad range of standard products to customers worldwide. We, with about 45 years of operating history, own a substantial number of registered patents and pending applications, and have extensive engineering, design and manufacturing process expertise.</w:t>
      </w:r>
    </w:p>
    <w:p>
      <w:pPr>
        <w:spacing w:after="0" w:line="177" w:lineRule="exact"/>
        <w:rPr>
          <w:sz w:val="20"/>
          <w:szCs w:val="20"/>
          <w:color w:val="auto"/>
        </w:rPr>
      </w:pPr>
    </w:p>
    <w:p>
      <w:pPr>
        <w:ind w:right="280" w:firstLine="441"/>
        <w:spacing w:after="0" w:line="246" w:lineRule="auto"/>
        <w:rPr>
          <w:sz w:val="20"/>
          <w:szCs w:val="20"/>
          <w:color w:val="auto"/>
        </w:rPr>
      </w:pPr>
      <w:r>
        <w:rPr>
          <w:rFonts w:ascii="Times New Roman" w:cs="Times New Roman" w:eastAsia="Times New Roman" w:hAnsi="Times New Roman"/>
          <w:sz w:val="18"/>
          <w:szCs w:val="18"/>
          <w:color w:val="auto"/>
        </w:rPr>
        <w:t>We develop and manufacture Power Analog Solutions products and develop Power integrated circuit (“IC”) products. Power Analog Solutions products include metal oxide semiconductor field effect transistors (“MOSFETs”) and insulated-gate bipolar transistors (“IGBTs”) for a range of devices, including televisions, smartphones, mobile phones, wearable devices, desktop PCs, notebook PCs, tablet PCs, home appliance, other consumer electronics, automotive and industrial applications such as power suppliers, e-bikes, photovoltaic inverters, LED lighting and motor drives.</w:t>
      </w:r>
    </w:p>
    <w:p>
      <w:pPr>
        <w:spacing w:after="0" w:line="195"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 consumer electronics, as well as automotive applications.</w:t>
      </w:r>
    </w:p>
    <w:p>
      <w:pPr>
        <w:spacing w:after="0" w:line="177" w:lineRule="exact"/>
        <w:rPr>
          <w:sz w:val="20"/>
          <w:szCs w:val="20"/>
          <w:color w:val="auto"/>
        </w:rPr>
      </w:pPr>
    </w:p>
    <w:p>
      <w:pPr>
        <w:ind w:right="100" w:firstLine="441"/>
        <w:spacing w:after="0" w:line="245" w:lineRule="auto"/>
        <w:rPr>
          <w:sz w:val="20"/>
          <w:szCs w:val="20"/>
          <w:color w:val="auto"/>
        </w:rPr>
      </w:pPr>
      <w:r>
        <w:rPr>
          <w:rFonts w:ascii="Times New Roman" w:cs="Times New Roman" w:eastAsia="Times New Roman" w:hAnsi="Times New Roman"/>
          <w:sz w:val="18"/>
          <w:szCs w:val="18"/>
          <w:color w:val="auto"/>
        </w:rPr>
        <w:t>Our wide variety of analog and mixed-signal power semiconductor products combined with our mature technology platform allow us to address multiple high-growth end markets and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Substantially all of our Power IC products are produced using an external foundry. Through strategic cooperation with an external foundry, we seek to ensure we outsource wafers at competitive prices and produce quality products.</w:t>
      </w:r>
    </w:p>
    <w:p>
      <w:pPr>
        <w:spacing w:after="0" w:line="181" w:lineRule="exact"/>
        <w:rPr>
          <w:sz w:val="20"/>
          <w:szCs w:val="20"/>
          <w:color w:val="auto"/>
        </w:rPr>
      </w:pPr>
    </w:p>
    <w:p>
      <w:pPr>
        <w:ind w:right="60" w:firstLine="441"/>
        <w:spacing w:after="0" w:line="242" w:lineRule="auto"/>
        <w:rPr>
          <w:sz w:val="20"/>
          <w:szCs w:val="20"/>
          <w:color w:val="auto"/>
        </w:rPr>
      </w:pPr>
      <w:r>
        <w:rPr>
          <w:rFonts w:ascii="Times New Roman" w:cs="Times New Roman" w:eastAsia="Times New Roman" w:hAnsi="Times New Roman"/>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including trends and cyclicality in the semiconductor industry, which are influenced by broader macroeconomic conditions, including inflation, interest rates, geopolitical developments and global trade policies. For example, certain shipments to customers with operations in or exposure to China or the United States are subject to heightened risks and uncertainties related to trade and export control policies, including the imposition of new tariffs or increases in existing tariffs. Furthermore, ongoing geopolitical tensions, including conflicts and instability in the Middle East, such as a potential escalation involving the United States, Israel, and Iran, as well as tensions between China and Taiwan, may contribute to increased volatility in global markets and increased costs, as well as disruptions in supply chains and impacts to customer demand. We must also invest in relevant research and development activities and purchase necessary materials on a timely basis to meet our customers’ demand while maintaining our target margins and cash flow.</w:t>
      </w:r>
    </w:p>
    <w:p>
      <w:pPr>
        <w:spacing w:after="0" w:line="202"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1" w:lineRule="exact"/>
        <w:rPr>
          <w:sz w:val="20"/>
          <w:szCs w:val="20"/>
          <w:color w:val="auto"/>
        </w:rPr>
      </w:pPr>
    </w:p>
    <w:p>
      <w:pPr>
        <w:ind w:right="20" w:firstLine="441"/>
        <w:spacing w:after="0" w:line="244" w:lineRule="auto"/>
        <w:rPr>
          <w:sz w:val="20"/>
          <w:szCs w:val="20"/>
          <w:color w:val="auto"/>
        </w:rPr>
      </w:pPr>
      <w:r>
        <w:rPr>
          <w:rFonts w:ascii="Times New Roman" w:cs="Times New Roman" w:eastAsia="Times New Roman" w:hAnsi="Times New Roman"/>
          <w:sz w:val="18"/>
          <w:szCs w:val="18"/>
          <w:color w:val="auto"/>
        </w:rPr>
        <w:t>Demand for our products and services is driven by overall demand for industrial, automotive, communication, consumer and computing products and can be adversely affected by periods of weak consumer and enterprise spending, changes in global trade conditions, export controls, tariffs, geopolitical uncertainty, or by market share losses by our customers. Macroeconomic conditions, including inflation, increased energy costs and supply chain constraints, have contributed to increased logistics and input costs across the supply chain, and such costs may remain elevated. We continue to monitor for potential disruptions or cost increases resulting from geopolitical tensions, including in the Middle East and Eastern Europe, as well as evolving global trade policies.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w:t>
      </w:r>
    </w:p>
    <w:p>
      <w:pPr>
        <w:sectPr>
          <w:pgSz w:w="11900" w:h="16838" w:orient="portrait"/>
          <w:cols w:equalWidth="0" w:num="1">
            <w:col w:w="9720"/>
          </w:cols>
          <w:pgMar w:left="1080" w:top="117" w:right="109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new competitors as a result of our long operating history, existing manufacturing capacity and our worldwide customer base, if we are not effective in competing in these markets, our operating results may be adversely affected.</w:t>
      </w:r>
    </w:p>
    <w:p>
      <w:pPr>
        <w:spacing w:after="0" w:line="162" w:lineRule="exact"/>
        <w:rPr>
          <w:sz w:val="20"/>
          <w:szCs w:val="20"/>
          <w:color w:val="auto"/>
        </w:rPr>
      </w:pPr>
    </w:p>
    <w:p>
      <w:pPr>
        <w:ind w:right="60" w:firstLine="441"/>
        <w:spacing w:after="0" w:line="245" w:lineRule="auto"/>
        <w:rPr>
          <w:sz w:val="20"/>
          <w:szCs w:val="20"/>
          <w:color w:val="auto"/>
        </w:rPr>
      </w:pPr>
      <w:r>
        <w:rPr>
          <w:rFonts w:ascii="Times New Roman" w:cs="Times New Roman" w:eastAsia="Times New Roman" w:hAnsi="Times New Roman"/>
          <w:sz w:val="18"/>
          <w:szCs w:val="18"/>
          <w:color w:val="auto"/>
        </w:rPr>
        <w:t>Net sales for our Power Analog Solutions and Power IC products are driven by design wins in which we are selected by an electronics original equipment manufacturer (“OEM”) or other potential customers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95" w:lineRule="exact"/>
        <w:rPr>
          <w:sz w:val="20"/>
          <w:szCs w:val="20"/>
          <w:color w:val="auto"/>
        </w:rPr>
      </w:pPr>
    </w:p>
    <w:p>
      <w:pPr>
        <w:ind w:firstLine="441"/>
        <w:spacing w:after="0" w:line="242" w:lineRule="auto"/>
        <w:rPr>
          <w:sz w:val="20"/>
          <w:szCs w:val="20"/>
          <w:color w:val="auto"/>
        </w:rPr>
      </w:pPr>
      <w:r>
        <w:rPr>
          <w:rFonts w:ascii="Times New Roman" w:cs="Times New Roman" w:eastAsia="Times New Roman" w:hAnsi="Times New Roman"/>
          <w:sz w:val="18"/>
          <w:szCs w:val="18"/>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200" w:lineRule="exact"/>
        <w:rPr>
          <w:sz w:val="20"/>
          <w:szCs w:val="20"/>
          <w:color w:val="auto"/>
        </w:rPr>
      </w:pPr>
    </w:p>
    <w:p>
      <w:pPr>
        <w:ind w:right="80" w:firstLine="441"/>
        <w:spacing w:after="0" w:line="241" w:lineRule="auto"/>
        <w:rPr>
          <w:sz w:val="20"/>
          <w:szCs w:val="20"/>
          <w:color w:val="auto"/>
        </w:rPr>
      </w:pPr>
      <w:r>
        <w:rPr>
          <w:rFonts w:ascii="Times New Roman" w:cs="Times New Roman" w:eastAsia="Times New Roman" w:hAnsi="Times New Roman"/>
          <w:sz w:val="18"/>
          <w:szCs w:val="18"/>
          <w:color w:val="auto"/>
        </w:rPr>
        <w:t>Our Power Analog Solutions and Power IC businesses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Power IC products which do require advanced technology and 8-inch wafer capacity. We believe this balanced capital investment strategy enables us to optimize our capital investments and facilitates more diversified product and service offerings.</w:t>
      </w:r>
    </w:p>
    <w:p>
      <w:pPr>
        <w:spacing w:after="0" w:line="192" w:lineRule="exact"/>
        <w:rPr>
          <w:sz w:val="20"/>
          <w:szCs w:val="20"/>
          <w:color w:val="auto"/>
        </w:rPr>
      </w:pPr>
    </w:p>
    <w:p>
      <w:pPr>
        <w:ind w:right="20" w:firstLine="441"/>
        <w:spacing w:after="0" w:line="244" w:lineRule="auto"/>
        <w:rPr>
          <w:sz w:val="20"/>
          <w:szCs w:val="20"/>
          <w:color w:val="auto"/>
        </w:rPr>
      </w:pPr>
      <w:r>
        <w:rPr>
          <w:rFonts w:ascii="Times New Roman" w:cs="Times New Roman" w:eastAsia="Times New Roman" w:hAnsi="Times New Roman"/>
          <w:sz w:val="18"/>
          <w:szCs w:val="18"/>
          <w:color w:val="auto"/>
        </w:rPr>
        <w:t>As we expanded our design capabilities to products that require lower geometries unavailable at our existing manufacturing facilities, we have started outsourcing 8-inch wafer for Power IC products after the sale of our fabrication facility located in Cheongju, Korea in 2020. This additional source of manufacturing has been an important part of our supply chain management. By outsourcing manufacturing of Power IC products to an external foundry, we have been able to adapt dynamically to changing customer requirements and address growing markets without substantial capital investments by us. However, relying on the external foundry exposes us to the risk of being unable to secure manufacturing capacity, particularly during global shortages of foundry services. Although we work strategically with the external foundry to ensure long-term wafer capacity, if these efforts are at any time unsuccessful, our ability to deliver products to our customers may be negatively impacted, which would adversely affect our relationship with customers and opportunities to secure new design-wins.</w:t>
      </w:r>
    </w:p>
    <w:p>
      <w:pPr>
        <w:spacing w:after="0" w:line="185"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Gumi Power Substation Upgrade</w:t>
      </w:r>
    </w:p>
    <w:p>
      <w:pPr>
        <w:spacing w:after="0" w:line="108"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18"/>
          <w:szCs w:val="18"/>
          <w:color w:val="auto"/>
        </w:rPr>
        <w:t>A planned upgrade to the electrical substation in our Gumi fabrication facility by a third party is currently expected to temporarily impact our fabrication operations during the third quarter of 2026. To help mitigate potential customer supply disruptions, we currently plan to increase inventory production during the second quarter and a portion of the third quarter of 2026 in advance of the electrical substation upgrade being carried out by a third party owner of the substation. As a result, we expect our factory utilization rate to be somewhat higher in the second quarter of 2026, followed by lower utilization in the third quarter. Accordingly, we expect higher utilization to have a favorable impact on gross profit margin in the second quarter, while lower utilization in the third quarter is expected to adversely affect gross profit margins in the third and fourth quarters.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Shut-Down of Display business</w:t>
      </w:r>
    </w:p>
    <w:p>
      <w:pPr>
        <w:spacing w:after="0" w:line="108"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On March 7, 2025, our Board of Directors authorized a strategy to transition to a pure-play Power company, focusing our investments on the Power Analog Solutions and Power IC businesses to enhance profitability and maximize shareholder value. As part of this strategy, we explored all strategic options including a sale, merger, joint venture, licensing, and wind-down for our Display business (Display IC products). However, we were not able to consummate a transaction following several months of discussions with several interested parties on terms that our Board of Directors believed were in the best interests of the Company and our stockholders.</w:t>
      </w:r>
    </w:p>
    <w:p>
      <w:pPr>
        <w:spacing w:after="0" w:line="181" w:lineRule="exact"/>
        <w:rPr>
          <w:sz w:val="20"/>
          <w:szCs w:val="20"/>
          <w:color w:val="auto"/>
        </w:rPr>
      </w:pPr>
    </w:p>
    <w:p>
      <w:pPr>
        <w:ind w:right="140" w:firstLine="441"/>
        <w:spacing w:after="0" w:line="245" w:lineRule="auto"/>
        <w:rPr>
          <w:sz w:val="20"/>
          <w:szCs w:val="20"/>
          <w:color w:val="auto"/>
        </w:rPr>
      </w:pPr>
      <w:r>
        <w:rPr>
          <w:rFonts w:ascii="Times New Roman" w:cs="Times New Roman" w:eastAsia="Times New Roman" w:hAnsi="Times New Roman"/>
          <w:sz w:val="18"/>
          <w:szCs w:val="18"/>
          <w:color w:val="auto"/>
        </w:rPr>
        <w:t>Accordingly, on April 6, 2025, our Board of Directors unanimously approved the plan to shut down our Display business (the “Discontinued Business”) by the end of the second quarter of 2025, including the liquidation of MMS, our indirect wholly owned subsidiary that operated the Discontinued Business. For additional information regarding the announcement of our plan to shut down display business, see the Company’s Current Report on Form 8-K filed on April 8, 2025.</w:t>
      </w:r>
    </w:p>
    <w:p>
      <w:pPr>
        <w:spacing w:after="0" w:line="181" w:lineRule="exact"/>
        <w:rPr>
          <w:sz w:val="20"/>
          <w:szCs w:val="20"/>
          <w:color w:val="auto"/>
        </w:rPr>
      </w:pPr>
    </w:p>
    <w:p>
      <w:pPr>
        <w:ind w:right="60" w:firstLine="441"/>
        <w:spacing w:after="0"/>
        <w:rPr>
          <w:sz w:val="20"/>
          <w:szCs w:val="20"/>
          <w:color w:val="auto"/>
        </w:rPr>
      </w:pPr>
      <w:r>
        <w:rPr>
          <w:rFonts w:ascii="Times New Roman" w:cs="Times New Roman" w:eastAsia="Times New Roman" w:hAnsi="Times New Roman"/>
          <w:sz w:val="18"/>
          <w:szCs w:val="18"/>
          <w:color w:val="auto"/>
        </w:rPr>
        <w:t>Although we have discontinued our Display business, certain limited activities remain solely for the purpose of completing the orderly wind-down of operations and fulfilling pre-existing customer obligations, including the sale of “end of life” (“EOL”) Display products, which is being conducted by MSK. A small team has been retained exclusively to facilitate these wind-down activities. The sale of EOL Display products generated cash inflow of $5.8 million during the second half of 2025 and is expected to generate cash inflow of over $10 million in the next two years, depending upon customer demand. In addition, we continue to evaluate the potential monetization of the intellectual property assets of the Discontinued Business. Any proceeds from such monetization, if realized, could result in additional cash inflows.</w:t>
      </w:r>
    </w:p>
    <w:p>
      <w:pPr>
        <w:spacing w:after="0" w:line="185" w:lineRule="exact"/>
        <w:rPr>
          <w:sz w:val="20"/>
          <w:szCs w:val="20"/>
          <w:color w:val="auto"/>
        </w:rPr>
      </w:pPr>
    </w:p>
    <w:p>
      <w:pPr>
        <w:ind w:right="40" w:firstLine="441"/>
        <w:spacing w:after="0" w:line="241" w:lineRule="auto"/>
        <w:rPr>
          <w:sz w:val="20"/>
          <w:szCs w:val="20"/>
          <w:color w:val="auto"/>
        </w:rPr>
      </w:pPr>
      <w:r>
        <w:rPr>
          <w:rFonts w:ascii="Times New Roman" w:cs="Times New Roman" w:eastAsia="Times New Roman" w:hAnsi="Times New Roman"/>
          <w:sz w:val="18"/>
          <w:szCs w:val="18"/>
          <w:color w:val="auto"/>
        </w:rPr>
        <w:t>The total cash cost of the liquidation of MMS was approximately $13 million, which is expected to be offset by the cash inflow that may be generated as described above. The one-time liquidation cost consisted of statutory severance and other employee-related costs, contract termination charges and other associated costs. Of this total cash cost, we paid $6.5 million of statutory severance and other employee-related costs in the second quarter of 2025. Further, we originally expected to pay certain contract termination charges in full along with the statutory severance and other employee-related costs, but negotiated with the respective vendors for those contract termination charges totaling $6.0 million to be paid over the duration of the remaining existing contract terms.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Industry Conditions</w:t>
      </w:r>
    </w:p>
    <w:p>
      <w:pPr>
        <w:spacing w:after="0" w:line="108" w:lineRule="exact"/>
        <w:rPr>
          <w:sz w:val="20"/>
          <w:szCs w:val="20"/>
          <w:color w:val="auto"/>
        </w:rPr>
      </w:pPr>
    </w:p>
    <w:p>
      <w:pPr>
        <w:ind w:right="80" w:firstLine="441"/>
        <w:spacing w:after="0" w:line="237" w:lineRule="auto"/>
        <w:rPr>
          <w:sz w:val="20"/>
          <w:szCs w:val="20"/>
          <w:color w:val="auto"/>
        </w:rPr>
      </w:pPr>
      <w:r>
        <w:rPr>
          <w:rFonts w:ascii="Times New Roman" w:cs="Times New Roman" w:eastAsia="Times New Roman" w:hAnsi="Times New Roman"/>
          <w:sz w:val="18"/>
          <w:szCs w:val="18"/>
          <w:color w:val="auto"/>
        </w:rPr>
        <w:t>The semiconductor industry continues to face a number of macroeconomic challenges, including rising inflation, higher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trade conflicts or trade wars (especially those between the United States and China) including those arising directly or indirectly from tariffs imposed by the United States, any one or more of which may cause (if they have not already caused) volatility and unpredictability in the supply chain or market for semiconductor products and end-user demand. In particular, the military conflict involving the United States, Israel, and Iran has created significant volatility in global energy and materials markets and may adversely affect our manufacturing costs, supply chain continuity, and customer demand. For example, the resulting disruptions to oil, gas, and critical raw material shipments could constrain availability and/or increase costs of key inputs used in semiconductor production and could lead to delays or reduced demand across end markets, which may materially and adversely impact our business, financial condition, and results of operations. The length and severity of these macroeconomic events and their overall impact on our business, results of operations and financial condition remain uncertain.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Export Control Regulations</w:t>
      </w:r>
    </w:p>
    <w:p>
      <w:pPr>
        <w:spacing w:after="0" w:line="108"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w:t>
      </w:r>
    </w:p>
    <w:p>
      <w:pPr>
        <w:sectPr>
          <w:pgSz w:w="11900" w:h="16838" w:orient="portrait"/>
          <w:cols w:equalWidth="0" w:num="1">
            <w:col w:w="9720"/>
          </w:cols>
          <w:pgMar w:left="1080" w:top="117" w:right="109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On September 30, 2025, BIS published an “Affiliates Rule” to expand end-user controls to cover certain affiliates of entities designated on BIS Entity List or Military End User List or designated on the Specially Designated Nationals and Blocked Persons (SDN) List administered by the U.S. Department of the Treasury, Office of Foreign Assets Control. BIS subsequently delayed enforcement of the Affiliates Rule until November 2026. Based on our understanding of the U.S. Export Regulations and related rules currently in effect, we expect to invest additional resources and efforts in the screening of prospects, customers, and end-users in order to comply with the new Affiliates Rule once it goes into effect; while we do not anticipate that the rest of the rules will have a material impact on our current business, we will continue reviewing and assessing these rules and regulations and their potential impact on our business. BIS has recently altered aspects of its semiconductor licensing policies to a case-by-case review, taking into account requirements such as export volume thresholds and third party testing requirements. Additional changes to the U.S. Export Regulations are expected, such as recently proposed rule changes that may expand restrictions on 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and Reconciliation of Non-U.S. GAAP Measures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Operating Income (Loss) and Adjusted Net Income (Loss)</w:t>
      </w:r>
    </w:p>
    <w:p>
      <w:pPr>
        <w:spacing w:after="0" w:line="108"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net and (iii) derivative valuation loss (gain), net. EBITDA for the periods indicated is defined as net income(loss) before interest income, interest expense, income tax benefit, net and depreciation and amortization.</w:t>
      </w:r>
    </w:p>
    <w:p>
      <w:pPr>
        <w:spacing w:after="0" w:line="177" w:lineRule="exact"/>
        <w:rPr>
          <w:sz w:val="20"/>
          <w:szCs w:val="20"/>
          <w:color w:val="auto"/>
        </w:rPr>
      </w:pPr>
    </w:p>
    <w:p>
      <w:pPr>
        <w:ind w:right="780" w:firstLine="441"/>
        <w:spacing w:after="0" w:line="266" w:lineRule="auto"/>
        <w:rPr>
          <w:sz w:val="20"/>
          <w:szCs w:val="20"/>
          <w:color w:val="auto"/>
        </w:rPr>
      </w:pPr>
      <w:r>
        <w:rPr>
          <w:rFonts w:ascii="Times New Roman" w:cs="Times New Roman" w:eastAsia="Times New Roman" w:hAnsi="Times New Roman"/>
          <w:sz w:val="18"/>
          <w:szCs w:val="18"/>
          <w:color w:val="auto"/>
        </w:rPr>
        <w:t>See the footnotes to the table below for further information regarding these items. We present Adjusted EBITDA as a supplemental measure of our performance because:</w:t>
      </w:r>
    </w:p>
    <w:p>
      <w:pPr>
        <w:spacing w:after="0" w:line="54" w:lineRule="exact"/>
        <w:rPr>
          <w:sz w:val="20"/>
          <w:szCs w:val="20"/>
          <w:color w:val="auto"/>
        </w:rPr>
      </w:pPr>
    </w:p>
    <w:p>
      <w:pPr>
        <w:ind w:left="880" w:hanging="436"/>
        <w:spacing w:after="0" w:line="22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63" w:lineRule="exact"/>
        <w:rPr>
          <w:rFonts w:ascii="Times New Roman" w:cs="Times New Roman" w:eastAsia="Times New Roman" w:hAnsi="Times New Roman"/>
          <w:sz w:val="18"/>
          <w:szCs w:val="18"/>
          <w:color w:val="auto"/>
        </w:rPr>
      </w:pPr>
    </w:p>
    <w:p>
      <w:pPr>
        <w:ind w:left="880" w:right="40" w:hanging="436"/>
        <w:spacing w:after="0" w:line="22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64" w:lineRule="exact"/>
        <w:rPr>
          <w:rFonts w:ascii="Times New Roman" w:cs="Times New Roman" w:eastAsia="Times New Roman" w:hAnsi="Times New Roman"/>
          <w:sz w:val="18"/>
          <w:szCs w:val="18"/>
          <w:color w:val="auto"/>
        </w:rPr>
      </w:pPr>
    </w:p>
    <w:p>
      <w:pPr>
        <w:ind w:left="880" w:right="240" w:hanging="436"/>
        <w:spacing w:after="0" w:line="22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use Adjusted EBITDA in a number of ways, including:</w:t>
      </w:r>
    </w:p>
    <w:p>
      <w:pPr>
        <w:spacing w:after="0" w:line="90" w:lineRule="exact"/>
        <w:rPr>
          <w:sz w:val="20"/>
          <w:szCs w:val="20"/>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enterprise level business strategies;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concerning our consolidated financial performance; and</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compensation plans as a performance measure for determining incentive compensation payments.</w:t>
      </w:r>
    </w:p>
    <w:p>
      <w:pPr>
        <w:spacing w:after="0" w:line="198" w:lineRule="exact"/>
        <w:rPr>
          <w:sz w:val="20"/>
          <w:szCs w:val="20"/>
          <w:color w:val="auto"/>
        </w:rPr>
      </w:pPr>
    </w:p>
    <w:p>
      <w:pPr>
        <w:ind w:right="40" w:firstLine="441"/>
        <w:spacing w:after="0" w:line="247" w:lineRule="auto"/>
        <w:rPr>
          <w:sz w:val="20"/>
          <w:szCs w:val="20"/>
          <w:color w:val="auto"/>
        </w:rPr>
      </w:pPr>
      <w:r>
        <w:rPr>
          <w:rFonts w:ascii="Times New Roman" w:cs="Times New Roman" w:eastAsia="Times New Roman" w:hAnsi="Times New Roman"/>
          <w:sz w:val="18"/>
          <w:szCs w:val="18"/>
          <w:color w:val="auto"/>
        </w:rPr>
        <w:t>We encourage you to evaluate each adjustment and the reasons we consider them appropriate. In evaluating Adjusted EBITDA, you should be aware that in the future we may incur expenses (income) similar to the adjustments in this presentation. Adjusted EBITDA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A reconciliation of loss to Adjusted EBITDA from continuing operations is as follows:</w:t>
      </w:r>
    </w:p>
    <w:p>
      <w:pPr>
        <w:spacing w:after="0" w:line="148"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1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vMerge w:val="continue"/>
          </w:tcPr>
          <w:p>
            <w:pPr>
              <w:spacing w:after="0"/>
              <w:rPr>
                <w:sz w:val="12"/>
                <w:szCs w:val="12"/>
                <w:color w:val="auto"/>
              </w:rPr>
            </w:pPr>
          </w:p>
        </w:tc>
        <w:tc>
          <w:tcPr>
            <w:tcW w:w="10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0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9"/>
        </w:trPr>
        <w:tc>
          <w:tcPr>
            <w:tcW w:w="38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6"/>
                <w:szCs w:val="16"/>
                <w:color w:val="auto"/>
              </w:rPr>
            </w:pPr>
          </w:p>
        </w:tc>
        <w:tc>
          <w:tcPr>
            <w:tcW w:w="128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rPr>
                <w:sz w:val="16"/>
                <w:szCs w:val="16"/>
                <w:color w:val="auto"/>
              </w:rPr>
            </w:pPr>
          </w:p>
        </w:tc>
        <w:tc>
          <w:tcPr>
            <w:tcW w:w="4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Income tax benefit, net</w:t>
            </w:r>
          </w:p>
        </w:tc>
        <w:tc>
          <w:tcPr>
            <w:tcW w:w="220" w:type="dxa"/>
            <w:vAlign w:val="bottom"/>
          </w:tcPr>
          <w:p>
            <w:pPr>
              <w:spacing w:after="0"/>
              <w:rPr>
                <w:sz w:val="16"/>
                <w:szCs w:val="16"/>
                <w:color w:val="auto"/>
              </w:rPr>
            </w:pPr>
          </w:p>
        </w:tc>
        <w:tc>
          <w:tcPr>
            <w:tcW w:w="128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spacing w:after="0"/>
              <w:rPr>
                <w:sz w:val="16"/>
                <w:szCs w:val="16"/>
                <w:color w:val="auto"/>
              </w:rPr>
            </w:pPr>
          </w:p>
        </w:tc>
        <w:tc>
          <w:tcPr>
            <w:tcW w:w="4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89"/>
        </w:trPr>
        <w:tc>
          <w:tcPr>
            <w:tcW w:w="3880" w:type="dxa"/>
            <w:vAlign w:val="bottom"/>
            <w:tcBorders>
              <w:bottom w:val="single" w:sz="8" w:color="CFF0FC"/>
            </w:tcBorders>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EBITDA from continuing operations</w:t>
            </w:r>
          </w:p>
        </w:tc>
        <w:tc>
          <w:tcPr>
            <w:tcW w:w="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(4.4)</w:t>
            </w:r>
          </w:p>
        </w:tc>
        <w:tc>
          <w:tcPr>
            <w:tcW w:w="10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Equity-based compensation expense(a)</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Foreign currency loss, net(b)</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Derivative valuation loss (gain), net(c)</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8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10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-762000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-762000</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-25400</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-8255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-25400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-8255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76835</wp:posOffset>
            </wp:positionV>
            <wp:extent cx="8229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7" w:lineRule="exact"/>
        <w:rPr>
          <w:sz w:val="20"/>
          <w:szCs w:val="20"/>
          <w:color w:val="auto"/>
        </w:rPr>
      </w:pPr>
    </w:p>
    <w:p>
      <w:pPr>
        <w:ind w:left="440" w:right="80" w:hanging="436"/>
        <w:spacing w:after="0" w:line="224"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0" w:right="20" w:hanging="436"/>
        <w:spacing w:after="0" w:line="217"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4" w:lineRule="exact"/>
        <w:rPr>
          <w:rFonts w:ascii="Times New Roman" w:cs="Times New Roman" w:eastAsia="Times New Roman" w:hAnsi="Times New Roman"/>
          <w:sz w:val="18"/>
          <w:szCs w:val="18"/>
          <w:color w:val="auto"/>
        </w:rPr>
      </w:pPr>
    </w:p>
    <w:p>
      <w:pPr>
        <w:ind w:left="440" w:hanging="436"/>
        <w:spacing w:after="0" w:line="219"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7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54" w:lineRule="exact"/>
        <w:rPr>
          <w:sz w:val="20"/>
          <w:szCs w:val="20"/>
          <w:color w:val="auto"/>
        </w:rPr>
      </w:pPr>
    </w:p>
    <w:p>
      <w:pPr>
        <w:ind w:left="880" w:right="120" w:hanging="436"/>
        <w:spacing w:after="0" w:line="23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5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90" w:lineRule="exact"/>
        <w:rPr>
          <w:rFonts w:ascii="Times New Roman" w:cs="Times New Roman" w:eastAsia="Times New Roman" w:hAnsi="Times New Roman"/>
          <w:sz w:val="18"/>
          <w:szCs w:val="18"/>
          <w:color w:val="auto"/>
        </w:rPr>
      </w:pPr>
    </w:p>
    <w:p>
      <w:pPr>
        <w:ind w:left="880" w:right="20" w:hanging="436"/>
        <w:spacing w:after="0" w:line="23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50" w:lineRule="exact"/>
        <w:rPr>
          <w:rFonts w:ascii="Times New Roman" w:cs="Times New Roman" w:eastAsia="Times New Roman" w:hAnsi="Times New Roman"/>
          <w:sz w:val="18"/>
          <w:szCs w:val="18"/>
          <w:color w:val="auto"/>
        </w:rPr>
      </w:pPr>
    </w:p>
    <w:p>
      <w:pPr>
        <w:ind w:left="880" w:right="120" w:hanging="436"/>
        <w:spacing w:after="0" w:line="250"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41" w:lineRule="exact"/>
        <w:rPr>
          <w:rFonts w:ascii="Times New Roman" w:cs="Times New Roman" w:eastAsia="Times New Roman" w:hAnsi="Times New Roman"/>
          <w:sz w:val="18"/>
          <w:szCs w:val="18"/>
          <w:color w:val="auto"/>
        </w:rPr>
      </w:pPr>
    </w:p>
    <w:p>
      <w:pPr>
        <w:ind w:left="880" w:right="680" w:hanging="436"/>
        <w:spacing w:after="0" w:line="23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issuing equity-based compensation to our management team and employees;</w:t>
      </w:r>
    </w:p>
    <w:p>
      <w:pPr>
        <w:spacing w:after="0" w:line="6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costs of holding certain assets and liabilities in foreign currencies; and</w:t>
      </w:r>
    </w:p>
    <w:p>
      <w:pPr>
        <w:spacing w:after="0" w:line="76" w:lineRule="exact"/>
        <w:rPr>
          <w:rFonts w:ascii="Times New Roman" w:cs="Times New Roman" w:eastAsia="Times New Roman" w:hAnsi="Times New Roman"/>
          <w:sz w:val="18"/>
          <w:szCs w:val="18"/>
          <w:color w:val="auto"/>
        </w:rPr>
      </w:pPr>
    </w:p>
    <w:p>
      <w:pPr>
        <w:ind w:left="880" w:right="420" w:hanging="436"/>
        <w:spacing w:after="0" w:line="237"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185" w:lineRule="exact"/>
        <w:rPr>
          <w:sz w:val="20"/>
          <w:szCs w:val="20"/>
          <w:color w:val="auto"/>
        </w:rPr>
      </w:pPr>
    </w:p>
    <w:p>
      <w:pPr>
        <w:jc w:val="both"/>
        <w:ind w:right="140" w:firstLine="441"/>
        <w:spacing w:after="0" w:line="250"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7" w:right="11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firstLine="441"/>
        <w:spacing w:after="0" w:line="244" w:lineRule="auto"/>
        <w:rPr>
          <w:sz w:val="20"/>
          <w:szCs w:val="20"/>
          <w:color w:val="auto"/>
        </w:rPr>
      </w:pPr>
      <w:r>
        <w:rPr>
          <w:rFonts w:ascii="Times New Roman" w:cs="Times New Roman" w:eastAsia="Times New Roman" w:hAnsi="Times New Roman"/>
          <w:sz w:val="18"/>
          <w:szCs w:val="18"/>
          <w:color w:val="auto"/>
        </w:rPr>
        <w:t>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w:t>
      </w:r>
    </w:p>
    <w:p>
      <w:pPr>
        <w:spacing w:after="0" w:line="195" w:lineRule="exact"/>
        <w:rPr>
          <w:sz w:val="20"/>
          <w:szCs w:val="20"/>
          <w:color w:val="auto"/>
        </w:rPr>
      </w:pPr>
    </w:p>
    <w:p>
      <w:pPr>
        <w:ind w:firstLine="441"/>
        <w:spacing w:after="0" w:line="242" w:lineRule="auto"/>
        <w:rPr>
          <w:sz w:val="20"/>
          <w:szCs w:val="20"/>
          <w:color w:val="auto"/>
        </w:rPr>
      </w:pPr>
      <w:r>
        <w:rPr>
          <w:rFonts w:ascii="Times New Roman" w:cs="Times New Roman" w:eastAsia="Times New Roman" w:hAnsi="Times New Roman"/>
          <w:sz w:val="18"/>
          <w:szCs w:val="18"/>
          <w:color w:val="auto"/>
        </w:rPr>
        <w:t>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(income) similar to the adjustments in this presentation. We define Adjusted Operating Income (Loss) for the periods indicated as operating income (loss) adjusted to exclude equity-based compensation expense.</w:t>
      </w:r>
    </w:p>
    <w:p>
      <w:pPr>
        <w:spacing w:after="0" w:line="200"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adjustments to operating loss that we make in order to calculate Adjusted Operating Loss for the periods indicated:</w:t>
      </w:r>
    </w:p>
    <w:p>
      <w:pPr>
        <w:spacing w:after="0" w:line="14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7"/>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(7.2)</w:t>
            </w:r>
          </w:p>
        </w:tc>
        <w:tc>
          <w:tcPr>
            <w:tcW w:w="10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(5.3)</w:t>
            </w:r>
          </w:p>
        </w:tc>
      </w:tr>
      <w:tr>
        <w:trPr>
          <w:trHeight w:val="189"/>
        </w:trPr>
        <w:tc>
          <w:tcPr>
            <w:tcW w:w="3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880" w:type="dxa"/>
            <w:vAlign w:val="bottom"/>
            <w:tcBorders>
              <w:bottom w:val="single" w:sz="8" w:color="CFF0FC"/>
            </w:tcBorders>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Equity-based compensation expense(a)</w:t>
            </w:r>
          </w:p>
        </w:tc>
        <w:tc>
          <w:tcPr>
            <w:tcW w:w="2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2"/>
        </w:trPr>
        <w:tc>
          <w:tcPr>
            <w:tcW w:w="3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Operating Loss</w:t>
            </w:r>
          </w:p>
        </w:tc>
        <w:tc>
          <w:tcPr>
            <w:tcW w:w="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(6.5)</w:t>
            </w:r>
          </w:p>
        </w:tc>
        <w:tc>
          <w:tcPr>
            <w:tcW w:w="10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-153670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-153670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77470</wp:posOffset>
            </wp:positionV>
            <wp:extent cx="8229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7" w:lineRule="exact"/>
        <w:rPr>
          <w:sz w:val="20"/>
          <w:szCs w:val="20"/>
          <w:color w:val="auto"/>
        </w:rPr>
      </w:pPr>
    </w:p>
    <w:p>
      <w:pPr>
        <w:ind w:left="440" w:right="120" w:hanging="436"/>
        <w:spacing w:after="0" w:line="224" w:lineRule="auto"/>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firstLine="441"/>
        <w:spacing w:after="0" w:line="244" w:lineRule="auto"/>
        <w:rPr>
          <w:sz w:val="20"/>
          <w:szCs w:val="20"/>
          <w:color w:val="auto"/>
        </w:rPr>
      </w:pPr>
      <w:r>
        <w:rPr>
          <w:rFonts w:ascii="Times New Roman" w:cs="Times New Roman" w:eastAsia="Times New Roman" w:hAnsi="Times New Roman"/>
          <w:sz w:val="18"/>
          <w:szCs w:val="18"/>
          <w:color w:val="auto"/>
        </w:rPr>
        <w:t>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w:t>
      </w:r>
    </w:p>
    <w:p>
      <w:pPr>
        <w:spacing w:after="0" w:line="74" w:lineRule="exact"/>
        <w:rPr>
          <w:sz w:val="20"/>
          <w:szCs w:val="20"/>
          <w:color w:val="auto"/>
        </w:rPr>
      </w:pPr>
    </w:p>
    <w:p>
      <w:pPr>
        <w:ind w:left="880" w:right="140" w:hanging="436"/>
        <w:spacing w:after="0" w:line="224"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50" w:lineRule="exact"/>
        <w:rPr>
          <w:rFonts w:ascii="Times New Roman" w:cs="Times New Roman" w:eastAsia="Times New Roman" w:hAnsi="Times New Roman"/>
          <w:sz w:val="18"/>
          <w:szCs w:val="18"/>
          <w:color w:val="auto"/>
        </w:rPr>
      </w:pPr>
    </w:p>
    <w:p>
      <w:pPr>
        <w:ind w:left="880" w:right="240" w:hanging="436"/>
        <w:spacing w:after="0" w:line="224"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72"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Adjusted Net Income (Loss) (including on a per share basis) is not a measure defined in accordance with U.S. GAAP and should not be construed as an alternative to income (loss) from continuing operations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(income) similar to the adjustments in this presentation. We define Adjusted Net Income (Loss) (including on a per share basis); for the periods indicated as net income (loss), adjusted to exclude (i) equity-based compensation expense, (ii) foreign currency loss, net, (iii) derivative valuation loss (gain), net and (iv) income tax effect on non-GAAP adjustments.</w:t>
      </w:r>
    </w:p>
    <w:p>
      <w:pPr>
        <w:spacing w:after="0" w:line="18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adjustments to loss from continuing operations that we make in order to calculate Adjusted Loss (including on a per share basis) from continuing operations for the periods indicated:</w:t>
      </w:r>
    </w:p>
    <w:p>
      <w:pPr>
        <w:spacing w:after="0" w:line="14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(Dollars in millions, except per</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3"/>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Equity-based compensation expense(a)</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Foreign currency loss, net(b)</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Derivative valuation loss (gain), net(c)</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57"/>
        </w:trPr>
        <w:tc>
          <w:tcPr>
            <w:tcW w:w="388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Income tax effect on non-GAAP</w:t>
            </w:r>
          </w:p>
        </w:tc>
        <w:tc>
          <w:tcPr>
            <w:tcW w:w="220" w:type="dxa"/>
            <w:vAlign w:val="bottom"/>
          </w:tcPr>
          <w:p>
            <w:pPr>
              <w:spacing w:after="0"/>
              <w:rPr>
                <w:sz w:val="13"/>
                <w:szCs w:val="13"/>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adjustments(d)</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Adjusted Loss from continuing operations</w:t>
            </w:r>
          </w:p>
        </w:tc>
        <w:tc>
          <w:tcPr>
            <w:tcW w:w="2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Reported loss per share—basic</w:t>
            </w:r>
          </w:p>
        </w:tc>
        <w:tc>
          <w:tcPr>
            <w:tcW w:w="2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Reported loss per share—diluted</w:t>
            </w:r>
          </w:p>
        </w:tc>
        <w:tc>
          <w:tcPr>
            <w:tcW w:w="2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(0.13)</w:t>
            </w:r>
          </w:p>
        </w:tc>
        <w:tc>
          <w:tcPr>
            <w:tcW w:w="3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shares—basic</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36,407,581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shares—diluted</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36,407,581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Adjusted loss per share—basic</w:t>
            </w:r>
          </w:p>
        </w:tc>
        <w:tc>
          <w:tcPr>
            <w:tcW w:w="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(0.11)</w:t>
            </w:r>
          </w:p>
        </w:tc>
        <w:tc>
          <w:tcPr>
            <w:tcW w:w="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Adjusted loss per share—diluted</w:t>
            </w:r>
          </w:p>
        </w:tc>
        <w:tc>
          <w:tcPr>
            <w:tcW w:w="2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(0.11)</w:t>
            </w:r>
          </w:p>
        </w:tc>
        <w:tc>
          <w:tcPr>
            <w:tcW w:w="3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shares—basic</w:t>
            </w:r>
          </w:p>
        </w:tc>
        <w:tc>
          <w:tcPr>
            <w:tcW w:w="2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36,407,581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 average number of shares—diluted</w:t>
            </w:r>
          </w:p>
        </w:tc>
        <w:tc>
          <w:tcPr>
            <w:tcW w:w="2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36,407,581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36,887,841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-985520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-967740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-985520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-967740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76835</wp:posOffset>
            </wp:positionV>
            <wp:extent cx="8229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7" w:lineRule="exact"/>
        <w:rPr>
          <w:sz w:val="20"/>
          <w:szCs w:val="20"/>
          <w:color w:val="auto"/>
        </w:rPr>
      </w:pPr>
    </w:p>
    <w:p>
      <w:pPr>
        <w:ind w:left="440" w:right="120" w:hanging="436"/>
        <w:spacing w:after="0" w:line="217"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ind w:left="440" w:right="80" w:hanging="436"/>
        <w:spacing w:after="0" w:line="214"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ectPr>
          <w:pgSz w:w="11900" w:h="16838" w:orient="portrait"/>
          <w:cols w:equalWidth="0" w:num="1">
            <w:col w:w="9720"/>
          </w:cols>
          <w:pgMar w:left="1080" w:top="117" w:right="109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right="20" w:hanging="436"/>
        <w:spacing w:after="0" w:line="211"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440" w:right="640" w:hanging="436"/>
        <w:spacing w:after="0" w:line="233"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income tax effect on non-GAAP adjustments were calculated by calculating the tax expense of each jurisdiction with or without the non-GAAP adjustments.</w:t>
      </w:r>
    </w:p>
    <w:p>
      <w:pPr>
        <w:spacing w:after="0" w:line="17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We believe that all adjustments to income (loss) from continuing operations used to calculate Adjusted Net Income (Loss) from continuing operations was applied consistently to the periods presented.</w:t>
      </w:r>
    </w:p>
    <w:p>
      <w:pPr>
        <w:spacing w:after="0" w:line="176"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41" w:lineRule="exact"/>
        <w:rPr>
          <w:sz w:val="20"/>
          <w:szCs w:val="20"/>
          <w:color w:val="auto"/>
        </w:rPr>
      </w:pPr>
    </w:p>
    <w:p>
      <w:pPr>
        <w:ind w:left="880" w:hanging="43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reflect changes in, or cash requirements for, our working capital needs;</w:t>
      </w:r>
    </w:p>
    <w:p>
      <w:pPr>
        <w:spacing w:after="0" w:line="90" w:lineRule="exact"/>
        <w:rPr>
          <w:rFonts w:ascii="Times New Roman" w:cs="Times New Roman" w:eastAsia="Times New Roman" w:hAnsi="Times New Roman"/>
          <w:sz w:val="18"/>
          <w:szCs w:val="18"/>
          <w:color w:val="auto"/>
        </w:rPr>
      </w:pPr>
    </w:p>
    <w:p>
      <w:pPr>
        <w:ind w:left="880" w:right="20" w:hanging="436"/>
        <w:spacing w:after="0" w:line="237"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consider the potentially dilutive impact of issuing equity-based compensation to our management team and employees;</w:t>
      </w:r>
    </w:p>
    <w:p>
      <w:pPr>
        <w:spacing w:after="0" w:line="5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reflect the costs of holding certain assets and liabilities in foreign currencies; and</w:t>
      </w:r>
    </w:p>
    <w:p>
      <w:pPr>
        <w:spacing w:after="0" w:line="90" w:lineRule="exact"/>
        <w:rPr>
          <w:rFonts w:ascii="Times New Roman" w:cs="Times New Roman" w:eastAsia="Times New Roman" w:hAnsi="Times New Roman"/>
          <w:sz w:val="18"/>
          <w:szCs w:val="18"/>
          <w:color w:val="auto"/>
        </w:rPr>
      </w:pPr>
    </w:p>
    <w:p>
      <w:pPr>
        <w:ind w:left="880" w:right="40" w:hanging="436"/>
        <w:spacing w:after="0" w:line="237"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(Loss) differently than we do, limiting its usefulness as a comparative measure.</w:t>
      </w:r>
    </w:p>
    <w:p>
      <w:pPr>
        <w:spacing w:after="0" w:line="17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Because of these limitations, Adjusted Net Income (Loss) should not be considered as a measure of profitability of our business. We compensate for these limitations by relying primarily on our U.S. GAAP results and using Adjusted Net Income (Loss) only as a supplement.</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04" w:lineRule="exact"/>
        <w:rPr>
          <w:sz w:val="20"/>
          <w:szCs w:val="20"/>
          <w:color w:val="auto"/>
        </w:rPr>
      </w:pPr>
    </w:p>
    <w:p>
      <w:pPr>
        <w:ind w:firstLine="441"/>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We derive all of our sales (net of sales returns and allowances) from our Power Solutions business, which 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Power Analog Solution and Power IC businesses.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spacing w:after="0" w:line="179"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We recognize revenue when a customer obtains control of the product, which is generally upon product shipment, delivery at the customer’s location or upon customer acceptance, depending on the terms of the arrangement. For the three months ended March 31, 2026 and 2025, our products were sold to 143 and 140 end customers, respectively, and our net sales to our ten largest customers represented 73.4% and 75.4% of our net sales, respectively.</w:t>
      </w:r>
    </w:p>
    <w:p>
      <w:pPr>
        <w:spacing w:after="0" w:line="173" w:lineRule="exact"/>
        <w:rPr>
          <w:sz w:val="20"/>
          <w:szCs w:val="20"/>
          <w:color w:val="auto"/>
        </w:rPr>
      </w:pPr>
    </w:p>
    <w:p>
      <w:pPr>
        <w:ind w:right="100" w:firstLine="44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overall gross profit generally fluctuates as a result of changes in overall sales volumes and in the average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90" w:lineRule="exact"/>
        <w:rPr>
          <w:sz w:val="20"/>
          <w:szCs w:val="20"/>
          <w:color w:val="auto"/>
        </w:rPr>
      </w:pPr>
    </w:p>
    <w:p>
      <w:pPr>
        <w:ind w:right="120" w:firstLine="441"/>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Selling Prices (“ASP”). </w:t>
      </w:r>
      <w:r>
        <w:rPr>
          <w:rFonts w:ascii="Times New Roman" w:cs="Times New Roman" w:eastAsia="Times New Roman" w:hAnsi="Times New Roman"/>
          <w:sz w:val="18"/>
          <w:szCs w:val="18"/>
          <w:color w:val="auto"/>
        </w:rPr>
        <w:t>Average selling prices for our products tend to be highest at the time of introduction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which utilize the latest technology and tend to decrease over time as such products mature in the market and are replaced by new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90" w:lineRule="exact"/>
        <w:rPr>
          <w:sz w:val="20"/>
          <w:szCs w:val="20"/>
          <w:color w:val="auto"/>
        </w:rPr>
      </w:pPr>
    </w:p>
    <w:p>
      <w:pPr>
        <w:ind w:right="40"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Costs. </w:t>
      </w:r>
      <w:r>
        <w:rPr>
          <w:rFonts w:ascii="Times New Roman" w:cs="Times New Roman" w:eastAsia="Times New Roman" w:hAnsi="Times New Roman"/>
          <w:sz w:val="18"/>
          <w:szCs w:val="18"/>
          <w:color w:val="auto"/>
        </w:rPr>
        <w:t>Our material costs consist of costs of raw materials, such as silicon wafers, chemicals, gases and tape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packaging supplies. We 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85"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Costs. </w:t>
      </w:r>
      <w:r>
        <w:rPr>
          <w:rFonts w:ascii="Times New Roman" w:cs="Times New Roman" w:eastAsia="Times New Roman" w:hAnsi="Times New Roman"/>
          <w:sz w:val="18"/>
          <w:szCs w:val="18"/>
          <w:color w:val="auto"/>
        </w:rPr>
        <w:t>A significant portion of our employees are located in Korea. Under Korean labor laws, most employees and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officers with one or more years of service are entitled to severance benefits upon the termination of their employment based on their length of service and rate of pay. As of March 31, 2026, 97% of our employees were eligible for severance benefits.</w:t>
      </w:r>
    </w:p>
    <w:p>
      <w:pPr>
        <w:spacing w:after="0" w:line="172"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We periodically evaluate the carrying values of long-lived assets, including property, plant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intangible assets, as well as the related depreciation periods. We depreciate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w:t>
      </w:r>
    </w:p>
    <w:p>
      <w:pPr>
        <w:spacing w:after="0" w:line="189" w:lineRule="exact"/>
        <w:rPr>
          <w:sz w:val="20"/>
          <w:szCs w:val="20"/>
          <w:color w:val="auto"/>
        </w:rPr>
      </w:pPr>
    </w:p>
    <w:p>
      <w:pPr>
        <w:ind w:right="140"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Expenses. </w:t>
      </w:r>
      <w:r>
        <w:rPr>
          <w:rFonts w:ascii="Times New Roman" w:cs="Times New Roman" w:eastAsia="Times New Roman" w:hAnsi="Times New Roman"/>
          <w:sz w:val="18"/>
          <w:szCs w:val="18"/>
          <w:color w:val="auto"/>
        </w:rPr>
        <w:t>We sell our products worldwide through a direct sales force as well as a network of sales agents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70" w:lineRule="exact"/>
        <w:rPr>
          <w:sz w:val="20"/>
          <w:szCs w:val="20"/>
          <w:color w:val="auto"/>
        </w:rPr>
      </w:pPr>
    </w:p>
    <w:p>
      <w:pPr>
        <w:ind w:right="80" w:firstLine="44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of the costs of various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including finance, legal, human resources and other administrative functions. These expenses primarily consist of payroll-related expenses, consulting and other professional fees and office facility-related expenses.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firstLine="441"/>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rapid technological change and product obsolescence that characterize our industry require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Analog Solutions business are certain equipment, material and design-related costs for Power Analog Solutions products.</w:t>
      </w:r>
    </w:p>
    <w:p>
      <w:pPr>
        <w:spacing w:after="0" w:line="177" w:lineRule="exact"/>
        <w:rPr>
          <w:sz w:val="20"/>
          <w:szCs w:val="20"/>
          <w:color w:val="auto"/>
        </w:rPr>
      </w:pPr>
    </w:p>
    <w:p>
      <w:pPr>
        <w:ind w:right="20" w:firstLine="441"/>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Foreign Currency Exchange Rates on Reported Results of Operations. </w:t>
      </w:r>
      <w:r>
        <w:rPr>
          <w:rFonts w:ascii="Times New Roman" w:cs="Times New Roman" w:eastAsia="Times New Roman" w:hAnsi="Times New Roman"/>
          <w:sz w:val="18"/>
          <w:szCs w:val="18"/>
          <w:color w:val="auto"/>
        </w:rPr>
        <w:t>Historically, a portion of our revenues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may be affected by changes in the exchange rate between the Korean won and the U.S. dollar, including those related to the intercompany long-term loans to our Korean subsidiary, Magnachip Semiconductor, Ltd. or MSK, which is denominated in U.S. dollars. As of March 31, 2026, the outstanding intercompany loan balance including accrued interest between MSK and our Dutch subsidiary was $76.0 million. While the intercompany loan balance including accrued interest has decreased compared to prior periods, changes in exchange rates could continue to affect our reported foreign currency gain or loss.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97"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96" w:lineRule="exact"/>
        <w:rPr>
          <w:sz w:val="20"/>
          <w:szCs w:val="20"/>
          <w:color w:val="auto"/>
        </w:rPr>
      </w:pPr>
    </w:p>
    <w:p>
      <w:pPr>
        <w:ind w:right="100" w:firstLine="44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or Loss. </w:t>
      </w:r>
      <w:r>
        <w:rPr>
          <w:rFonts w:ascii="Times New Roman" w:cs="Times New Roman" w:eastAsia="Times New Roman" w:hAnsi="Times New Roman"/>
          <w:sz w:val="18"/>
          <w:szCs w:val="18"/>
          <w:color w:val="auto"/>
        </w:rPr>
        <w:t>Foreign currency translation gains or losses on transactions by us or our subsidiaries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other than our or our subsidiaries’ functional currency are included in foreign currency gain (loss), net in our consolidated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w:t>
      </w:r>
    </w:p>
    <w:p>
      <w:pPr>
        <w:spacing w:after="0" w:line="177" w:lineRule="exact"/>
        <w:rPr>
          <w:sz w:val="20"/>
          <w:szCs w:val="20"/>
          <w:color w:val="auto"/>
        </w:rPr>
      </w:pPr>
    </w:p>
    <w:p>
      <w:pPr>
        <w:ind w:right="40" w:firstLine="441"/>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 our income taxes in each of the tax jurisdictions in which we operate. This process involves using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97"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ectPr>
          <w:pgSz w:w="11900" w:h="16838" w:orient="portrait"/>
          <w:cols w:equalWidth="0" w:num="1">
            <w:col w:w="9720"/>
          </w:cols>
          <w:pgMar w:left="1080" w:top="117" w:right="109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 w:firstLine="44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We primarily invest in manufacturing equipment, software design tools and other tangible assets mainly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77"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monitor our inventory levels in light of product development changes and market expectations. We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7" w:right="115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 – Comparison of Three Months Ended March 31, 2026 and 2025</w:t>
      </w:r>
    </w:p>
    <w:p>
      <w:pPr>
        <w:spacing w:after="0" w:line="10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three months ended March 31, 2026 and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vMerge w:val="restart"/>
          </w:tcPr>
          <w:p>
            <w:pPr>
              <w:spacing w:after="0"/>
              <w:rPr>
                <w:sz w:val="10"/>
                <w:szCs w:val="10"/>
                <w:color w:val="auto"/>
              </w:rPr>
            </w:pPr>
          </w:p>
        </w:tc>
        <w:tc>
          <w:tcPr>
            <w:tcW w:w="740" w:type="dxa"/>
            <w:vAlign w:val="bottom"/>
            <w:tcBorders>
              <w:top w:val="single" w:sz="8" w:color="auto"/>
            </w:tcBorders>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6"/>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left w:val="single" w:sz="8" w:color="CFF0FC"/>
            </w:tcBorders>
            <w:shd w:val="clear" w:color="auto" w:fill="CFF0FC"/>
          </w:tcPr>
          <w:p>
            <w:pPr>
              <w:spacing w:after="0"/>
              <w:rPr>
                <w:sz w:val="16"/>
                <w:szCs w:val="16"/>
                <w:color w:val="auto"/>
              </w:rPr>
            </w:pPr>
          </w:p>
        </w:tc>
        <w:tc>
          <w:tcPr>
            <w:tcW w:w="1100" w:type="dxa"/>
            <w:vAlign w:val="bottom"/>
            <w:gridSpan w:val="4"/>
            <w:shd w:val="clear" w:color="auto" w:fill="CFF0FC"/>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84.4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left w:val="single" w:sz="8" w:color="CFF0FC"/>
            </w:tcBorders>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20.9</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left w:val="single" w:sz="8" w:color="CFF0FC"/>
            </w:tcBorders>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16.6</w:t>
            </w: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left w:val="single" w:sz="8" w:color="CFF0FC"/>
            </w:tcBorders>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(0.3)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4"/>
          </w:tcPr>
          <w:p>
            <w:pPr>
              <w:jc w:val="right"/>
              <w:ind w:right="128"/>
              <w:spacing w:after="0" w:line="182" w:lineRule="exact"/>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5"/>
                <w:szCs w:val="15"/>
                <w:color w:val="auto"/>
              </w:rPr>
            </w:pPr>
          </w:p>
        </w:tc>
        <w:tc>
          <w:tcPr>
            <w:tcW w:w="100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left w:val="single" w:sz="8" w:color="CFF0FC"/>
            </w:tcBorders>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4"/>
          </w:tcPr>
          <w:p>
            <w:pPr>
              <w:jc w:val="right"/>
              <w:ind w:right="128"/>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6"/>
                <w:szCs w:val="16"/>
                <w:color w:val="auto"/>
              </w:rPr>
            </w:pPr>
          </w:p>
        </w:tc>
        <w:tc>
          <w:tcPr>
            <w:tcW w:w="1000" w:type="dxa"/>
            <w:vAlign w:val="bottom"/>
            <w:gridSpan w:val="3"/>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Foreign currency loss, net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4"/>
            <w:shd w:val="clear" w:color="auto" w:fill="CFF0FC"/>
          </w:tcPr>
          <w:p>
            <w:pPr>
              <w:jc w:val="right"/>
              <w:ind w:right="128"/>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Other income (loss), net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4"/>
          </w:tcPr>
          <w:p>
            <w:pPr>
              <w:jc w:val="right"/>
              <w:ind w:right="128"/>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left w:val="single" w:sz="8" w:color="CFF0FC"/>
            </w:tcBorders>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(0.3)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4240" w:type="dxa"/>
            <w:vAlign w:val="bottom"/>
            <w:tcBorders>
              <w:top w:val="single" w:sz="8" w:color="CFF0FC"/>
            </w:tcBorders>
          </w:tcPr>
          <w:p>
            <w:pPr>
              <w:spacing w:after="0" w:line="150" w:lineRule="exact"/>
              <w:rPr>
                <w:sz w:val="20"/>
                <w:szCs w:val="20"/>
                <w:color w:val="auto"/>
              </w:rPr>
            </w:pPr>
            <w:r>
              <w:rPr>
                <w:rFonts w:ascii="Times New Roman" w:cs="Times New Roman" w:eastAsia="Times New Roman" w:hAnsi="Times New Roman"/>
                <w:sz w:val="17"/>
                <w:szCs w:val="17"/>
                <w:color w:val="auto"/>
              </w:rPr>
              <w:t>Loss from continuing operations before income tax</w:t>
            </w:r>
          </w:p>
        </w:tc>
        <w:tc>
          <w:tcPr>
            <w:tcW w:w="2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2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benefit, net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1100" w:type="dxa"/>
            <w:vAlign w:val="bottom"/>
            <w:gridSpan w:val="4"/>
            <w:shd w:val="clear" w:color="auto" w:fill="CFF0FC"/>
          </w:tcPr>
          <w:p>
            <w:pPr>
              <w:jc w:val="right"/>
              <w:ind w:right="128"/>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4"/>
          </w:tcPr>
          <w:p>
            <w:pPr>
              <w:jc w:val="right"/>
              <w:ind w:right="128"/>
              <w:spacing w:after="0" w:line="182"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00" w:type="dxa"/>
            <w:vAlign w:val="bottom"/>
            <w:gridSpan w:val="3"/>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(0.6)</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left w:val="single" w:sz="8" w:color="CFF0FC"/>
            </w:tcBorders>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0" w:type="dxa"/>
            <w:vAlign w:val="bottom"/>
          </w:tcPr>
          <w:p>
            <w:pPr>
              <w:spacing w:after="0"/>
              <w:rPr>
                <w:sz w:val="15"/>
                <w:szCs w:val="15"/>
                <w:color w:val="auto"/>
              </w:rPr>
            </w:pPr>
          </w:p>
        </w:tc>
        <w:tc>
          <w:tcPr>
            <w:tcW w:w="4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5"/>
                <w:szCs w:val="15"/>
                <w:color w:val="auto"/>
              </w:rPr>
            </w:pPr>
          </w:p>
        </w:tc>
        <w:tc>
          <w:tcPr>
            <w:tcW w:w="1000" w:type="dxa"/>
            <w:vAlign w:val="bottom"/>
            <w:gridSpan w:val="3"/>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(19.9)%</w:t>
            </w:r>
          </w:p>
        </w:tc>
        <w:tc>
          <w:tcPr>
            <w:tcW w:w="20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by business line</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vMerge w:val="restart"/>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vMerge w:val="restart"/>
          </w:tcPr>
          <w:p>
            <w:pPr>
              <w:spacing w:after="0"/>
              <w:rPr>
                <w:sz w:val="10"/>
                <w:szCs w:val="10"/>
                <w:color w:val="auto"/>
              </w:rPr>
            </w:pPr>
          </w:p>
        </w:tc>
        <w:tc>
          <w:tcPr>
            <w:tcW w:w="76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Power Solutions business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Analog Solutions</w:t>
            </w:r>
          </w:p>
        </w:tc>
        <w:tc>
          <w:tcPr>
            <w:tcW w:w="3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41.6</w:t>
            </w:r>
          </w:p>
        </w:tc>
        <w:tc>
          <w:tcPr>
            <w:tcW w:w="200" w:type="dxa"/>
            <w:vAlign w:val="bottom"/>
            <w:tcBorders>
              <w:left w:val="single" w:sz="8" w:color="CFF0FC"/>
            </w:tcBorders>
            <w:shd w:val="clear" w:color="auto" w:fill="CFF0FC"/>
          </w:tcPr>
          <w:p>
            <w:pPr>
              <w:spacing w:after="0"/>
              <w:rPr>
                <w:sz w:val="16"/>
                <w:szCs w:val="16"/>
                <w:color w:val="auto"/>
              </w:rPr>
            </w:pPr>
          </w:p>
        </w:tc>
        <w:tc>
          <w:tcPr>
            <w:tcW w:w="1100" w:type="dxa"/>
            <w:vAlign w:val="bottom"/>
            <w:gridSpan w:val="4"/>
            <w:shd w:val="clear" w:color="auto" w:fill="CFF0FC"/>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90.1%</w:t>
            </w:r>
          </w:p>
        </w:tc>
        <w:tc>
          <w:tcPr>
            <w:tcW w:w="1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89.1%</w:t>
            </w:r>
          </w:p>
        </w:tc>
        <w:tc>
          <w:tcPr>
            <w:tcW w:w="2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424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IC</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tcBorders>
              <w:bottom w:val="single" w:sz="8" w:color="CFF0FC"/>
            </w:tcBorders>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Power Solutions business</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left w:val="single" w:sz="8" w:color="CFF0FC"/>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44.7</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right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424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46.2</w:t>
            </w:r>
          </w:p>
        </w:tc>
        <w:tc>
          <w:tcPr>
            <w:tcW w:w="200" w:type="dxa"/>
            <w:vAlign w:val="bottom"/>
          </w:tcPr>
          <w:p>
            <w:pPr>
              <w:spacing w:after="0"/>
              <w:rPr>
                <w:sz w:val="15"/>
                <w:szCs w:val="15"/>
                <w:color w:val="auto"/>
              </w:rPr>
            </w:pPr>
          </w:p>
        </w:tc>
        <w:tc>
          <w:tcPr>
            <w:tcW w:w="1100" w:type="dxa"/>
            <w:vAlign w:val="bottom"/>
            <w:gridSpan w:val="4"/>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6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-4156710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-4156710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-4156710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-3419475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-3419475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-3419475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-3051175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-3051175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-3051175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-2802255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-2802255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-2802255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-1045210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-1045210</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5119370</wp:posOffset>
            </wp:positionH>
            <wp:positionV relativeFrom="paragraph">
              <wp:posOffset>-1045210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-1045210</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-1045210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4"/>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9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9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7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vMerge w:val="restart"/>
          </w:tcPr>
          <w:p>
            <w:pPr>
              <w:spacing w:after="0"/>
              <w:rPr>
                <w:sz w:val="10"/>
                <w:szCs w:val="10"/>
                <w:color w:val="auto"/>
              </w:rPr>
            </w:pPr>
          </w:p>
        </w:tc>
        <w:tc>
          <w:tcPr>
            <w:tcW w:w="100" w:type="dxa"/>
            <w:vAlign w:val="bottom"/>
            <w:tcBorders>
              <w:top w:val="single" w:sz="8" w:color="auto"/>
            </w:tcBorders>
            <w:vMerge w:val="restart"/>
          </w:tcPr>
          <w:p>
            <w:pPr>
              <w:spacing w:after="0"/>
              <w:rPr>
                <w:sz w:val="10"/>
                <w:szCs w:val="10"/>
                <w:color w:val="auto"/>
              </w:rPr>
            </w:pPr>
          </w:p>
        </w:tc>
        <w:tc>
          <w:tcPr>
            <w:tcW w:w="7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80" w:type="dxa"/>
            <w:vAlign w:val="bottom"/>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5"/>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Power Solutions business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Analog Solutions</w:t>
            </w:r>
          </w:p>
        </w:tc>
        <w:tc>
          <w:tcPr>
            <w:tcW w:w="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1320" w:type="dxa"/>
            <w:vAlign w:val="bottom"/>
            <w:tcBorders>
              <w:right w:val="single" w:sz="8" w:color="CFF0FC"/>
            </w:tcBorders>
            <w:gridSpan w:val="3"/>
            <w:shd w:val="clear" w:color="auto" w:fill="CFF0FC"/>
          </w:tcPr>
          <w:p>
            <w:pPr>
              <w:ind w:left="720"/>
              <w:spacing w:after="0" w:line="189" w:lineRule="exact"/>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tcBorders>
              <w:right w:val="single" w:sz="8" w:color="CFF0FC"/>
            </w:tcBorders>
            <w:gridSpan w:val="2"/>
            <w:shd w:val="clear" w:color="auto" w:fill="CFF0FC"/>
          </w:tcPr>
          <w:p>
            <w:pPr>
              <w:ind w:left="420"/>
              <w:spacing w:after="0" w:line="189" w:lineRule="exact"/>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9"/>
        </w:trPr>
        <w:tc>
          <w:tcPr>
            <w:tcW w:w="458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Power IC</w:t>
            </w: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2"/>
          </w:tcPr>
          <w:p>
            <w:pPr>
              <w:ind w:left="720"/>
              <w:spacing w:after="0" w:line="189" w:lineRule="exact"/>
              <w:rPr>
                <w:sz w:val="20"/>
                <w:szCs w:val="20"/>
                <w:color w:val="auto"/>
              </w:rPr>
            </w:pPr>
            <w:r>
              <w:rPr>
                <w:rFonts w:ascii="Times New Roman" w:cs="Times New Roman" w:eastAsia="Times New Roman" w:hAnsi="Times New Roman"/>
                <w:sz w:val="18"/>
                <w:szCs w:val="18"/>
                <w:color w:val="auto"/>
                <w:w w:val="95"/>
              </w:rPr>
              <w:t>40.4</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color w:val="auto"/>
              </w:rPr>
              <w:t>46.5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shd w:val="clear" w:color="auto" w:fill="CFF0FC"/>
          </w:tcPr>
          <w:p>
            <w:pPr>
              <w:ind w:left="180"/>
              <w:spacing w:after="0" w:line="182" w:lineRule="exact"/>
              <w:rPr>
                <w:sz w:val="20"/>
                <w:szCs w:val="20"/>
                <w:color w:val="auto"/>
              </w:rPr>
            </w:pPr>
            <w:r>
              <w:rPr>
                <w:rFonts w:ascii="Times New Roman" w:cs="Times New Roman" w:eastAsia="Times New Roman" w:hAnsi="Times New Roman"/>
                <w:sz w:val="18"/>
                <w:szCs w:val="18"/>
                <w:color w:val="auto"/>
              </w:rPr>
              <w:t>Total Power Solutions business</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1040" w:type="dxa"/>
            <w:vAlign w:val="bottom"/>
            <w:gridSpan w:val="2"/>
            <w:shd w:val="clear" w:color="auto" w:fill="CFF0FC"/>
          </w:tcPr>
          <w:p>
            <w:pPr>
              <w:ind w:left="720"/>
              <w:spacing w:after="0" w:line="182" w:lineRule="exact"/>
              <w:rPr>
                <w:sz w:val="20"/>
                <w:szCs w:val="20"/>
                <w:color w:val="auto"/>
              </w:rPr>
            </w:pPr>
            <w:r>
              <w:rPr>
                <w:rFonts w:ascii="Times New Roman" w:cs="Times New Roman" w:eastAsia="Times New Roman" w:hAnsi="Times New Roman"/>
                <w:sz w:val="18"/>
                <w:szCs w:val="18"/>
                <w:color w:val="auto"/>
                <w:w w:val="95"/>
              </w:rPr>
              <w:t>15.6</w:t>
            </w:r>
          </w:p>
        </w:tc>
        <w:tc>
          <w:tcPr>
            <w:tcW w:w="28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20.9</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3"/>
          </w:tcPr>
          <w:p>
            <w:pPr>
              <w:ind w:left="720"/>
              <w:spacing w:after="0" w:line="169" w:lineRule="exact"/>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jc w:val="right"/>
              <w:ind w:right="20"/>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420"/>
              <w:spacing w:after="0" w:line="169" w:lineRule="exact"/>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-153670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-153670</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-153670</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We operate within a single operating segment, Power Solutions business, which consists of our Power Analog Solutions and Power IC businesses.</w:t>
      </w:r>
    </w:p>
    <w:p>
      <w:pPr>
        <w:spacing w:after="0" w:line="158" w:lineRule="exact"/>
        <w:rPr>
          <w:sz w:val="20"/>
          <w:szCs w:val="20"/>
          <w:color w:val="auto"/>
        </w:rPr>
      </w:pPr>
    </w:p>
    <w:p>
      <w:pPr>
        <w:ind w:right="100"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Power Solutions business. </w:t>
      </w:r>
      <w:r>
        <w:rPr>
          <w:rFonts w:ascii="Times New Roman" w:cs="Times New Roman" w:eastAsia="Times New Roman" w:hAnsi="Times New Roman"/>
          <w:sz w:val="18"/>
          <w:szCs w:val="18"/>
          <w:color w:val="auto"/>
        </w:rPr>
        <w:t>Net Sales from Power Solutions business were $46.2 million for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2026, a $1.5 million, or 3.3%, increase compared to $44.7 million for the three months ended March 31, 2025. This increase was primarily due to an increase in revenue related to our Power Analog Solutions business, which was offset in part by a decrease in revenue from our Power IC business as described below.</w:t>
      </w:r>
    </w:p>
    <w:p>
      <w:pPr>
        <w:spacing w:after="0" w:line="188"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Net sales from Power Analog Solutions business were $41.6 million for the three months ended March 31, 2026, a $1.8 million, or 4.5%, increase compared to $39.9 million for the three months ended March 31, 2025. The increase in net sales from our Power Analog Solutions business line was primarily attributable to a higher demand for power products such as MOSFETs in the computing application, and IGBTs in the industrial application, particularly solar inverters.</w:t>
      </w:r>
    </w:p>
    <w:p>
      <w:pPr>
        <w:spacing w:after="0" w:line="1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Net sales from Power IC business were $4.6 million for the three months ended March 31, 2026, a $0.3 million, or 6.2%,</w:t>
      </w:r>
    </w:p>
    <w:p>
      <w:pPr>
        <w:spacing w:after="0" w:line="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decrease compared to $4.9 million for the three months ended March 31, 2025. The decrease in net sales from our Power IC business line was primarily attributable to a decrease in sales of certain OLED IT devices.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4" w:lineRule="exact"/>
        <w:rPr>
          <w:sz w:val="20"/>
          <w:szCs w:val="20"/>
          <w:color w:val="auto"/>
        </w:rPr>
      </w:pPr>
    </w:p>
    <w:p>
      <w:pPr>
        <w:ind w:right="20" w:firstLine="441"/>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Power Solutions business. </w:t>
      </w:r>
      <w:r>
        <w:rPr>
          <w:rFonts w:ascii="Times New Roman" w:cs="Times New Roman" w:eastAsia="Times New Roman" w:hAnsi="Times New Roman"/>
          <w:sz w:val="18"/>
          <w:szCs w:val="18"/>
          <w:color w:val="auto"/>
        </w:rPr>
        <w:t>Gross profit from our Power Solutions business was $7.2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which represented a $2.2 million, or 23.2%, decrease from gross profit of $9.4 million for the three months ended March 31, 2025. Gross profit as a percentage of net sales for the three months ended March 31, 2026 decreased to 15.6% compared to 20.9% for the three months ended March 31, 2025. The year-over-year decrease in gross profit and gross profit as a percentage of net sales was primarily attributable to an unfavorable product mix, driven by ASP erosion resulting from increased pricing pressure on our older generation products, particularly in China.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Region</w:t>
      </w:r>
    </w:p>
    <w:p>
      <w:pPr>
        <w:spacing w:after="0" w:line="108"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March 31, 2026 and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20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vMerge w:val="restart"/>
          </w:tcPr>
          <w:p>
            <w:pPr>
              <w:spacing w:after="0"/>
              <w:rPr>
                <w:sz w:val="10"/>
                <w:szCs w:val="10"/>
                <w:color w:val="auto"/>
              </w:rPr>
            </w:pPr>
          </w:p>
        </w:tc>
        <w:tc>
          <w:tcPr>
            <w:tcW w:w="12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20.7</w:t>
            </w:r>
          </w:p>
        </w:tc>
        <w:tc>
          <w:tcPr>
            <w:tcW w:w="1340" w:type="dxa"/>
            <w:vAlign w:val="bottom"/>
            <w:gridSpan w:val="3"/>
            <w:shd w:val="clear" w:color="auto" w:fill="CFF0FC"/>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Asia Pacific (other than Korea)</w:t>
            </w:r>
          </w:p>
        </w:tc>
        <w:tc>
          <w:tcPr>
            <w:tcW w:w="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23.6</w:t>
            </w:r>
          </w:p>
        </w:tc>
        <w:tc>
          <w:tcPr>
            <w:tcW w:w="10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3319780</wp:posOffset>
            </wp:positionH>
            <wp:positionV relativeFrom="paragraph">
              <wp:posOffset>-25400</wp:posOffset>
            </wp:positionV>
            <wp:extent cx="603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-7620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-25400</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-7620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-25400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-7620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-25400</wp:posOffset>
            </wp:positionV>
            <wp:extent cx="1111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5368925</wp:posOffset>
            </wp:positionH>
            <wp:positionV relativeFrom="paragraph">
              <wp:posOffset>-7620</wp:posOffset>
            </wp:positionV>
            <wp:extent cx="1111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300" w:firstLine="441"/>
        <w:spacing w:after="0" w:line="246" w:lineRule="auto"/>
        <w:rPr>
          <w:sz w:val="20"/>
          <w:szCs w:val="20"/>
          <w:color w:val="auto"/>
        </w:rPr>
      </w:pPr>
      <w:r>
        <w:rPr>
          <w:rFonts w:ascii="Times New Roman" w:cs="Times New Roman" w:eastAsia="Times New Roman" w:hAnsi="Times New Roman"/>
          <w:sz w:val="18"/>
          <w:szCs w:val="18"/>
          <w:color w:val="auto"/>
        </w:rPr>
        <w:t>Net sales in Korea decreased from $21.7 million for the three months ended March 31, 2025 to $20.7 million for the three months ended March 31, 2026, or by $1.1 million, or 4.8%, primarily due to a decreased revenue from the competitive pricing pressure on our older generation products in consumer applications, which was offset in part by an increased demand for power products such as low-voltage MOSFETs in communication applications. A lower demand for our Power IC products, primarily for OLED IT devices, also had an unfavorable impact on net sales.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sales in the Asia Pacific (other than Korea) increased from $21.0 million for the three months ended March 31, 2025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$23.6 million for the three months ended March 31, 2026, or by $2.6 million, or 12.4%, primarily due to a higher demand for power</w:t>
      </w:r>
    </w:p>
    <w:p>
      <w:pPr>
        <w:spacing w:after="0"/>
        <w:rPr>
          <w:sz w:val="20"/>
          <w:szCs w:val="20"/>
          <w:color w:val="auto"/>
        </w:rPr>
      </w:pPr>
      <w:r>
        <w:rPr>
          <w:rFonts w:ascii="Times New Roman" w:cs="Times New Roman" w:eastAsia="Times New Roman" w:hAnsi="Times New Roman"/>
          <w:sz w:val="18"/>
          <w:szCs w:val="18"/>
          <w:color w:val="auto"/>
        </w:rPr>
        <w:t>products such as MOSFETs and high-end MOSFETs in computing and industrial applications, and IGBTs primarily for solar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inverters.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4" w:lineRule="exact"/>
        <w:rPr>
          <w:sz w:val="20"/>
          <w:szCs w:val="20"/>
          <w:color w:val="auto"/>
        </w:rPr>
      </w:pPr>
    </w:p>
    <w:p>
      <w:pPr>
        <w:ind w:right="40" w:firstLine="441"/>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$7.7 million, or 16.6%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for the three months ended March 31, 2026, compared to $9.2 million, or 20.6% of net sales for the three months ended March 31, 2025. The decrease of $1.5 million, or 16.7%, was primarily attributable to a decrease in employee compensation, driven mainly by the execution of the voluntary resignation program primarily for shared function employees and separation of certain executive officers in 2025, as well as a decrease in professional fees mainly comprised of legal and consulting fees.</w:t>
      </w:r>
    </w:p>
    <w:p>
      <w:pPr>
        <w:spacing w:after="0" w:line="173"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$6.7 million, or 14.5% of net sales,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2026, compared to $5.4 million, or 12.2% of net sales, for the three months ended March 31, 2025. The increase of $1.3 million, or 23.2%, was primarily attributable to higher personnel costs resulting from the increased headcount in research and development, and an increase in development activities for new generation power products.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108"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As a result of the foregoing, operating loss of $7.2 million was recorded for the three months ended March 31, 2026 compared to operating loss of $5.3 million for the three months ended March 31, 2025. As discussed above, the increase in operating loss of $1.9 million resulted primarily from a $2.2 million decrease in gross profit and a $1.3 million increase in research and development expenses, which was offset in part by a $1.5 million decrease in selling, general and administrative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4" w:lineRule="exact"/>
        <w:rPr>
          <w:sz w:val="20"/>
          <w:szCs w:val="20"/>
          <w:color w:val="auto"/>
        </w:rPr>
      </w:pPr>
    </w:p>
    <w:p>
      <w:pPr>
        <w:ind w:right="500" w:firstLine="44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was $1.1 million and $1.5 million for the three months ended March 31, 2026 and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$0.4 million for each of the three months ended March 31, 2026 and 2025.</w:t>
      </w:r>
    </w:p>
    <w:p>
      <w:pPr>
        <w:spacing w:after="0" w:line="212" w:lineRule="exact"/>
        <w:rPr>
          <w:sz w:val="20"/>
          <w:szCs w:val="20"/>
          <w:color w:val="auto"/>
        </w:rPr>
      </w:pPr>
    </w:p>
    <w:p>
      <w:pPr>
        <w:ind w:right="120"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Loss, Net. </w:t>
      </w:r>
      <w:r>
        <w:rPr>
          <w:rFonts w:ascii="Times New Roman" w:cs="Times New Roman" w:eastAsia="Times New Roman" w:hAnsi="Times New Roman"/>
          <w:sz w:val="18"/>
          <w:szCs w:val="18"/>
          <w:color w:val="auto"/>
        </w:rPr>
        <w:t>Net foreign currency loss for the three months ended March 31, 2026 was $0.1 million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net foreign currency loss of $0.4 million for the three months ended March 31, 2025. The net foreign currency loss for the three months ended March 31, 2026 and 2025 was due to the depreciation in value of the Korean won relative to the U.S. dollar during the period.</w:t>
      </w:r>
    </w:p>
    <w:p>
      <w:pPr>
        <w:sectPr>
          <w:pgSz w:w="11900" w:h="16838" w:orient="portrait"/>
          <w:cols w:equalWidth="0" w:num="1">
            <w:col w:w="9720"/>
          </w:cols>
          <w:pgMar w:left="1080" w:top="117" w:right="109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firstLine="441"/>
        <w:spacing w:after="0" w:line="245"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March 31, 2026 and March 31, 2025, the outstanding intercompany loan balance including accrued interest between our Korean subsidiary, Magnachip Semiconductor, Ltd., and our Dutch subsidiary were $76.0 million and $260.7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Net</w:t>
      </w:r>
    </w:p>
    <w:p>
      <w:pPr>
        <w:spacing w:after="0" w:line="108"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and our effective tax rate is affected by changes in the mix of earnings between countries with differing tax rates.</w:t>
      </w:r>
    </w:p>
    <w:p>
      <w:pPr>
        <w:spacing w:after="0" w:line="148" w:lineRule="exact"/>
        <w:rPr>
          <w:sz w:val="20"/>
          <w:szCs w:val="20"/>
          <w:color w:val="auto"/>
        </w:rPr>
      </w:pPr>
    </w:p>
    <w:p>
      <w:pPr>
        <w:ind w:right="540" w:firstLine="441"/>
        <w:spacing w:after="0" w:line="296" w:lineRule="auto"/>
        <w:rPr>
          <w:sz w:val="20"/>
          <w:szCs w:val="20"/>
          <w:color w:val="auto"/>
        </w:rPr>
      </w:pPr>
      <w:r>
        <w:rPr>
          <w:rFonts w:ascii="Times New Roman" w:cs="Times New Roman" w:eastAsia="Times New Roman" w:hAnsi="Times New Roman"/>
          <w:sz w:val="17"/>
          <w:szCs w:val="17"/>
          <w:color w:val="auto"/>
        </w:rPr>
        <w:t>Income tax benefit for the three months ended March 31, 2026 and 2025 was $1.9 million and $0.4 million, respectively, primarily related to our primary operating entity in Korea, based on the estimated taxable loss for each respective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Continuing Operations</w:t>
      </w:r>
    </w:p>
    <w:p>
      <w:pPr>
        <w:spacing w:after="0" w:line="121"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Loss from continuing operations for the three months ended March 31, 2026 was $4.7 million compared to loss from continuing operations of $4.1 million for the three months ended March 31, 2025. The $0.6 million increase in loss from continuing operations was primarily attributable to a $1.9 million increase in operating loss and a $0.5 million decrease in interest income, which was offset by a $1.5 million increase in income tax benefit and a $0.3 million improvement in net foreign currency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Discontinued Operations, Net of Tax</w:t>
      </w:r>
    </w:p>
    <w:p>
      <w:pPr>
        <w:spacing w:after="0" w:line="108"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Income from discontinued operations, net of tax for the three months ended March 31, 2026 was $0.1 million compared to loss from discontinued operations, net of tax of $4.8 million for the three months ended March 31, 2025. The $4.9 million improvement in loss from discontinued operations, net of tax primarily resulted from a $6.1 million decrease in research and development expense and $1.4 million decrease in selling, general and administrative expenses, which was offset in part by a $2.6 million decrease in gross profit and a $0.2 million increase in income tax expense.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08"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As a result of the foregoing, a net loss of $4.6 million was recorded for the three months ended March 31, 2026 compared to a net loss of $8.9 million for the three months ended March 31, 2025. As discussed above, the improvement in net loss of $4.2 million resulted from a $4.9 million improvement in loss from discontinued operations, net of tax, which was offset by a $0.6 million increase in loss from continuing operations.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20" w:firstLine="441"/>
        <w:spacing w:after="0" w:line="296" w:lineRule="auto"/>
        <w:rPr>
          <w:sz w:val="20"/>
          <w:szCs w:val="20"/>
          <w:color w:val="auto"/>
        </w:rPr>
      </w:pPr>
      <w:r>
        <w:rPr>
          <w:rFonts w:ascii="Times New Roman" w:cs="Times New Roman" w:eastAsia="Times New Roman" w:hAnsi="Times New Roman"/>
          <w:sz w:val="17"/>
          <w:szCs w:val="17"/>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52"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cash flows from operating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March 31, 2026, we did not have any accounts payable on extended terms or payment deferment with our vendors.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29, 2018, our Korean subsidiary, Magnachip Semiconductor, Ltd. (“MSK”), entered into an arrangement whereby it</w:t>
      </w:r>
    </w:p>
    <w:p>
      <w:pPr>
        <w:spacing w:after="0" w:line="16" w:lineRule="exact"/>
        <w:rPr>
          <w:sz w:val="20"/>
          <w:szCs w:val="20"/>
          <w:color w:val="auto"/>
        </w:rPr>
      </w:pPr>
    </w:p>
    <w:p>
      <w:pPr>
        <w:ind w:right="140" w:firstLine="4"/>
        <w:spacing w:after="0"/>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Effective November 1, 2025, the service term was adjusted, extending the remaining service period through 2038. As of March 31, 2026, the outstanding obligation of this arrangement is approximately $44.5 million for remaining service term through 2038.</w:t>
      </w:r>
    </w:p>
    <w:p>
      <w:pPr>
        <w:spacing w:after="0" w:line="187" w:lineRule="exact"/>
        <w:rPr>
          <w:sz w:val="20"/>
          <w:szCs w:val="20"/>
          <w:color w:val="auto"/>
        </w:rPr>
      </w:pPr>
    </w:p>
    <w:p>
      <w:pPr>
        <w:ind w:right="220" w:firstLine="441"/>
        <w:spacing w:after="0" w:line="250" w:lineRule="auto"/>
        <w:rPr>
          <w:sz w:val="20"/>
          <w:szCs w:val="20"/>
          <w:color w:val="auto"/>
        </w:rPr>
      </w:pPr>
      <w:r>
        <w:rPr>
          <w:rFonts w:ascii="Times New Roman" w:cs="Times New Roman" w:eastAsia="Times New Roman" w:hAnsi="Times New Roman"/>
          <w:sz w:val="18"/>
          <w:szCs w:val="18"/>
          <w:color w:val="auto"/>
        </w:rPr>
        <w:t>On March 26, 2024, MSK executed a Standard Credit Agreement (together with its General Terms and Conditions, the “Loan Agreement”) with Korea Development Bank (“KDB”). The Loan Agreement provides for a working capital term loan (the “Term Loan”) of KRW 40,000,000,000 (approximately $26.4 million based on the KRW/USD exchange rate of 1,513.4:1 as of March 31, 2026 as quoted by KEB Hana Bank). The Term Loan requires monthly interest-only payments and matures on March 26, 2027, at which time the full principal balance will be due and payable.</w:t>
      </w:r>
    </w:p>
    <w:p>
      <w:pPr>
        <w:spacing w:after="0" w:line="177" w:lineRule="exact"/>
        <w:rPr>
          <w:sz w:val="20"/>
          <w:szCs w:val="20"/>
          <w:color w:val="auto"/>
        </w:rPr>
      </w:pPr>
    </w:p>
    <w:p>
      <w:pPr>
        <w:ind w:right="220" w:firstLine="441"/>
        <w:spacing w:after="0" w:line="247" w:lineRule="auto"/>
        <w:rPr>
          <w:sz w:val="20"/>
          <w:szCs w:val="20"/>
          <w:color w:val="auto"/>
        </w:rPr>
      </w:pPr>
      <w:r>
        <w:rPr>
          <w:rFonts w:ascii="Times New Roman" w:cs="Times New Roman" w:eastAsia="Times New Roman" w:hAnsi="Times New Roman"/>
          <w:sz w:val="18"/>
          <w:szCs w:val="18"/>
          <w:color w:val="auto"/>
        </w:rPr>
        <w:t>During 2025, under its existing Equipment Financing Credit Agreement with KDB, MSK entered into three CAPEX Loans in the aggregate principal amount of KRW 23,995,000,000, consisting of (i) KRW 9,520,000,000 on June 26, 2025, (ii) KRW 5,075,000,000 on September 26, 2025, and (iii) KRW 9,400,000,000 on December 30, 2025 (approximately $15.9 million in the aggregate based on the KRW/USD exchange rate of 1,513.4:1 as of March 31, 2026, as quoted by KEB Hana Bank). The CAPEX Loans require monthly interest-only payments, with principal repayments deferred for an initial two-year period and amortized over the subsequent eight years, and matures on June 26, 2035.</w:t>
      </w:r>
    </w:p>
    <w:p>
      <w:pPr>
        <w:spacing w:after="0" w:line="180" w:lineRule="exact"/>
        <w:rPr>
          <w:sz w:val="20"/>
          <w:szCs w:val="20"/>
          <w:color w:val="auto"/>
        </w:rPr>
      </w:pPr>
    </w:p>
    <w:p>
      <w:pPr>
        <w:ind w:right="140" w:firstLine="441"/>
        <w:spacing w:after="0" w:line="250" w:lineRule="auto"/>
        <w:rPr>
          <w:sz w:val="20"/>
          <w:szCs w:val="20"/>
          <w:color w:val="auto"/>
        </w:rPr>
      </w:pPr>
      <w:r>
        <w:rPr>
          <w:rFonts w:ascii="Times New Roman" w:cs="Times New Roman" w:eastAsia="Times New Roman" w:hAnsi="Times New Roman"/>
          <w:sz w:val="18"/>
          <w:szCs w:val="18"/>
          <w:color w:val="auto"/>
        </w:rPr>
        <w:t>As of March 31, 2026, cash and cash equivalents held by MSK were $87.8 million, which represents 93% of our total cash and cash equivalents on a consolidated basis. We currently believe that we will have sufficient cash reserves from cash on hand and expected cash from operations to fund our operations as well as debt service and capital expenditures for the next 12 months and the foreseeable future.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08" w:lineRule="exact"/>
        <w:rPr>
          <w:sz w:val="20"/>
          <w:szCs w:val="20"/>
          <w:color w:val="auto"/>
        </w:rPr>
      </w:pPr>
    </w:p>
    <w:p>
      <w:pPr>
        <w:ind w:right="60" w:firstLine="441"/>
        <w:spacing w:after="0" w:line="242" w:lineRule="auto"/>
        <w:rPr>
          <w:sz w:val="20"/>
          <w:szCs w:val="20"/>
          <w:color w:val="auto"/>
        </w:rPr>
      </w:pPr>
      <w:r>
        <w:rPr>
          <w:rFonts w:ascii="Times New Roman" w:cs="Times New Roman" w:eastAsia="Times New Roman" w:hAnsi="Times New Roman"/>
          <w:sz w:val="18"/>
          <w:szCs w:val="18"/>
          <w:color w:val="auto"/>
        </w:rPr>
        <w:t>Our working capital balance as of March 31, 2026 was $98.3 million compared to $133.4 million as of December 31, 2025. The decrease in working capital balance was mainly attributable to the reclassification of $26.4 million of our Term Loan to the current portion of long-term borrowings, reflecting its maturity within one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7"/>
          <w:szCs w:val="17"/>
          <w:color w:val="auto"/>
        </w:rPr>
        <w:t>Cash inflow provided by operating activities totaled $1.6 million for the three months ended March 31, 2026, compared to $4.7 million of cash outflow used in operating activities for the three months ended March 31, 2025. The net operating cash inflow for the three months ended March 31, 2026 reflects our net loss of $4.6 million, as adjusted favorably by $8.8 million, which mainly consisted of depreciation and amortization, provision for severance benefits, reversal for inventory reserves, net foreign currency gain or loss and stock-based compensation, and net unfavorable impact of $2.6 million from changes in operating assets and liabilities.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08" w:lineRule="exact"/>
        <w:rPr>
          <w:sz w:val="20"/>
          <w:szCs w:val="20"/>
          <w:color w:val="auto"/>
        </w:rPr>
      </w:pPr>
    </w:p>
    <w:p>
      <w:pPr>
        <w:ind w:right="380" w:firstLine="441"/>
        <w:spacing w:after="0"/>
        <w:rPr>
          <w:sz w:val="20"/>
          <w:szCs w:val="20"/>
          <w:color w:val="auto"/>
        </w:rPr>
      </w:pPr>
      <w:r>
        <w:rPr>
          <w:rFonts w:ascii="Times New Roman" w:cs="Times New Roman" w:eastAsia="Times New Roman" w:hAnsi="Times New Roman"/>
          <w:sz w:val="18"/>
          <w:szCs w:val="18"/>
          <w:color w:val="auto"/>
        </w:rPr>
        <w:t>Cash outflow used in investing activities totaled $5.9 million for the three months ended March 31, 2026, compared to $0.4 million of cash outflow used in investing activities for the three months ended March 31, 2025. The $5.6 million increase in cash outflow was primarily attributable to a $3.8 million net increase in hedge collateral and a $3.7 million increase in purchase of property, plant and equipment, which was offset in part by a $1.9 million net decrease in guarantee deposits.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08" w:lineRule="exact"/>
        <w:rPr>
          <w:sz w:val="20"/>
          <w:szCs w:val="20"/>
          <w:color w:val="auto"/>
        </w:rPr>
      </w:pPr>
    </w:p>
    <w:p>
      <w:pPr>
        <w:ind w:right="20" w:firstLine="441"/>
        <w:spacing w:after="0" w:line="235" w:lineRule="auto"/>
        <w:rPr>
          <w:sz w:val="20"/>
          <w:szCs w:val="20"/>
          <w:color w:val="auto"/>
        </w:rPr>
      </w:pPr>
      <w:r>
        <w:rPr>
          <w:rFonts w:ascii="Times New Roman" w:cs="Times New Roman" w:eastAsia="Times New Roman" w:hAnsi="Times New Roman"/>
          <w:sz w:val="18"/>
          <w:szCs w:val="18"/>
          <w:color w:val="auto"/>
        </w:rPr>
        <w:t>Cash outflow used in financing activities totaled $0.3 million for the three months ended March 31, 2026, compared to $1.5 million of cash outflow used in by financing activities for the three months ended March 31, 2025. The financing cash outflow for the three months ended March 31, 2026 was primarily attributable to a payment of $0.2 million for the repurchase of our common stock to satisfy tax withholding obligations in connection with the vesting of restricted stock units. The financing cash outflow for the three months ended March 31, 2025 was primarily attributable to a payment of $0.9 million for the repurchases of our common stock pursuant to our stock repurchase program and a payment of $0.5 million for the repurchase of our common stock to satisfy tax withholding obligations in connection with the vesting of restricted stock units.</w:t>
      </w:r>
    </w:p>
    <w:p>
      <w:pPr>
        <w:spacing w:after="0" w:line="188" w:lineRule="exact"/>
        <w:rPr>
          <w:sz w:val="20"/>
          <w:szCs w:val="20"/>
          <w:color w:val="auto"/>
        </w:rPr>
      </w:pPr>
    </w:p>
    <w:p>
      <w:pPr>
        <w:ind w:right="240" w:firstLine="441"/>
        <w:spacing w:after="0" w:line="242" w:lineRule="auto"/>
        <w:rPr>
          <w:sz w:val="20"/>
          <w:szCs w:val="20"/>
          <w:color w:val="auto"/>
        </w:rPr>
      </w:pPr>
      <w:r>
        <w:rPr>
          <w:rFonts w:ascii="Times New Roman" w:cs="Times New Roman" w:eastAsia="Times New Roman" w:hAnsi="Times New Roman"/>
          <w:sz w:val="18"/>
          <w:szCs w:val="18"/>
          <w:color w:val="auto"/>
        </w:rPr>
        <w:t>For additional cash flow information associated with our discontinued operation, please see “Item 1. Interim Consolidated Financial Statements – Notes to Consolidated Financial Statements – Note 2 – Discontinued Operations” included elsewhere in this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right="20" w:firstLine="441"/>
        <w:spacing w:after="0" w:line="235" w:lineRule="auto"/>
        <w:rPr>
          <w:sz w:val="20"/>
          <w:szCs w:val="20"/>
          <w:color w:val="auto"/>
        </w:rPr>
      </w:pPr>
      <w:r>
        <w:rPr>
          <w:rFonts w:ascii="Times New Roman" w:cs="Times New Roman" w:eastAsia="Times New Roman" w:hAnsi="Times New Roman"/>
          <w:sz w:val="18"/>
          <w:szCs w:val="18"/>
          <w:color w:val="auto"/>
        </w:rPr>
        <w:t>We routinely make capital expenditures for fabrication facility maintenance, enhancement of our existing facility and reinforcement of our global research and development capability. For the three months ended March 31, 2026, capital expenditures for property, plant and equipment were $3.9 million, a $3.7 million increase from $0.2 million for the three months ended March 31, 2025. Of the $3.9 million incurred during the first quarter of 2026, approximately $2.5 million was related to investments in equipment at our fabrication facility located in Gumi, Korea. These investments are expected to support the development of new generation products and the installation of new tools to optimize product mix and improvement in gross profit margins for the future periods.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ind w:right="280" w:firstLine="441"/>
        <w:spacing w:after="0" w:line="250" w:lineRule="auto"/>
        <w:rPr>
          <w:sz w:val="20"/>
          <w:szCs w:val="20"/>
          <w:color w:val="auto"/>
        </w:rPr>
      </w:pPr>
      <w:r>
        <w:rPr>
          <w:rFonts w:ascii="Times New Roman" w:cs="Times New Roman" w:eastAsia="Times New Roman" w:hAnsi="Times New Roman"/>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63" w:lineRule="exact"/>
        <w:rPr>
          <w:sz w:val="20"/>
          <w:szCs w:val="20"/>
          <w:color w:val="auto"/>
        </w:rPr>
      </w:pPr>
    </w:p>
    <w:p>
      <w:pPr>
        <w:ind w:right="20" w:firstLine="441"/>
        <w:spacing w:after="0" w:line="237" w:lineRule="auto"/>
        <w:rPr>
          <w:sz w:val="20"/>
          <w:szCs w:val="20"/>
          <w:color w:val="auto"/>
        </w:rPr>
      </w:pPr>
      <w:r>
        <w:rPr>
          <w:rFonts w:ascii="Times New Roman" w:cs="Times New Roman" w:eastAsia="Times New Roman" w:hAnsi="Times New Roman"/>
          <w:sz w:val="18"/>
          <w:szCs w:val="18"/>
          <w:color w:val="auto"/>
        </w:rPr>
        <w:t>We believe that our significant accounting policies, which are described further in Note 1 to our consolidated financial statements in our Annual Report on Form 10-K for our fiscal year ended December 31, 2025, or our 2025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76" w:lineRule="exact"/>
        <w:rPr>
          <w:sz w:val="20"/>
          <w:szCs w:val="20"/>
          <w:color w:val="auto"/>
        </w:rPr>
      </w:pPr>
    </w:p>
    <w:p>
      <w:pPr>
        <w:ind w:firstLine="441"/>
        <w:spacing w:after="0"/>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judgement appears in our 2025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2025 Form 10-K.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ind w:right="180" w:firstLine="441"/>
        <w:spacing w:after="0" w:line="246" w:lineRule="auto"/>
        <w:rPr>
          <w:sz w:val="20"/>
          <w:szCs w:val="20"/>
          <w:color w:val="auto"/>
        </w:rPr>
      </w:pPr>
      <w:r>
        <w:rPr>
          <w:rFonts w:ascii="Times New Roman" w:cs="Times New Roman" w:eastAsia="Times New Roman" w:hAnsi="Times New Roman"/>
          <w:sz w:val="18"/>
          <w:szCs w:val="18"/>
          <w:color w:val="auto"/>
        </w:rPr>
        <w:t>In connection with the preparation of this Report, we carried out an evaluation under the supervision of and with the participation of our management, including our Chief Executive Officer and Chief Financial Officer, as of March 31, 2026,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March 31, 2026.</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460" w:firstLine="441"/>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17"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 discussion of legal proceedings, see “Part I, Item 3. Legal Proceedings” of our 2025 Form 10-K.</w:t>
      </w:r>
    </w:p>
    <w:p>
      <w:pPr>
        <w:spacing w:after="0" w:line="225"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See also “Item 1A. Risk Factors” in this Report and “Part I, Item 1A. Risk Factors” of our 2025 Form 10-K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The Company is subject to risks and uncertainties, any of which could have a significant or material adverse effect on our business, financial condition, liquidity or consolidated financial statements.</w:t>
      </w:r>
    </w:p>
    <w:p>
      <w:pPr>
        <w:spacing w:after="0" w:line="162" w:lineRule="exact"/>
        <w:rPr>
          <w:sz w:val="20"/>
          <w:szCs w:val="20"/>
          <w:color w:val="auto"/>
        </w:rPr>
      </w:pPr>
    </w:p>
    <w:p>
      <w:pPr>
        <w:ind w:right="80" w:firstLine="441"/>
        <w:spacing w:after="0" w:line="250" w:lineRule="auto"/>
        <w:rPr>
          <w:sz w:val="20"/>
          <w:szCs w:val="20"/>
          <w:color w:val="auto"/>
        </w:rPr>
      </w:pPr>
      <w:r>
        <w:rPr>
          <w:rFonts w:ascii="Times New Roman" w:cs="Times New Roman" w:eastAsia="Times New Roman" w:hAnsi="Times New Roman"/>
          <w:sz w:val="18"/>
          <w:szCs w:val="18"/>
          <w:color w:val="auto"/>
        </w:rPr>
        <w:t>In addition to the other information contained in this Report and the other reports and materials the Company files with the Securities and Exchange Commission, investors should carefully consider the risk factors disclosed in Part I, Item 1A of our 2025 Form 10-K as well as in our subsequent filings with the Securities and Exchange Commission. The risks described herein and therein are not the only ones we face.</w:t>
      </w:r>
    </w:p>
    <w:p>
      <w:pPr>
        <w:spacing w:after="0" w:line="173" w:lineRule="exact"/>
        <w:rPr>
          <w:sz w:val="20"/>
          <w:szCs w:val="20"/>
          <w:color w:val="auto"/>
        </w:rPr>
      </w:pPr>
    </w:p>
    <w:p>
      <w:pPr>
        <w:ind w:right="4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Upgrades and modernization of power system infrastructure could interrupt production and materially and adversely impact our business, prospects, financial condition and results of operations.</w:t>
      </w:r>
    </w:p>
    <w:p>
      <w:pPr>
        <w:spacing w:after="0" w:line="145"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Our Gumi fabrication facilityrequires a stable supply of electricity to support continuous manufacturing operations and sensitive production equipment. As we seek to maintain and improve our production capabilities, we may be required to further modernize our facilities and equipment and upgrade our manufacturing facilities. In addition, we rely on third parties to supply stable power supply and other power systems infrastructure to support our fabrication operations, and such third parties may from time to time perform maintenance, upgrades or other work relating to the supporting power systems infrastructure, including a planned upgrade to certain power infrastructure serving our Gumi fabrication facility that is currently expected to result in a temporary power interruption and related operational adjustments. Any damage to fabrication equipment, disruption during the resumption of operations, production delays, wafer losses, deterioration in yield or other operational inefficiencies resulting from such upgrade could materially and adversely affect our business, financial conditions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right="5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the monthly activity related to our repurchases of common stock for the quarter ended March 31,2026.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3"/>
                <w:szCs w:val="13"/>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2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120" w:type="dxa"/>
            <w:vAlign w:val="bottom"/>
          </w:tcPr>
          <w:p>
            <w:pPr>
              <w:jc w:val="center"/>
              <w:ind w:left="128"/>
              <w:spacing w:after="0" w:line="151"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3"/>
                <w:szCs w:val="13"/>
                <w:color w:val="auto"/>
              </w:rPr>
            </w:pPr>
          </w:p>
        </w:tc>
        <w:tc>
          <w:tcPr>
            <w:tcW w:w="138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2400" w:type="dxa"/>
            <w:vAlign w:val="bottom"/>
            <w:gridSpan w:val="2"/>
          </w:tcPr>
          <w:p>
            <w:pPr>
              <w:spacing w:after="0"/>
              <w:rPr>
                <w:sz w:val="15"/>
                <w:szCs w:val="15"/>
                <w:color w:val="auto"/>
              </w:rPr>
            </w:pPr>
          </w:p>
        </w:tc>
        <w:tc>
          <w:tcPr>
            <w:tcW w:w="11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thousands)(1)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2820" w:type="dxa"/>
            <w:vAlign w:val="bottom"/>
            <w:gridSpan w:val="3"/>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January 2026</w:t>
            </w: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ind w:left="11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ind w:left="11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20,951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2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February 2026</w:t>
            </w:r>
          </w:p>
        </w:tc>
        <w:tc>
          <w:tcPr>
            <w:tcW w:w="1120" w:type="dxa"/>
            <w:vAlign w:val="bottom"/>
          </w:tcPr>
          <w:p>
            <w:pPr>
              <w:spacing w:after="0"/>
              <w:rPr>
                <w:sz w:val="16"/>
                <w:szCs w:val="16"/>
                <w:color w:val="auto"/>
              </w:rPr>
            </w:pPr>
          </w:p>
        </w:tc>
        <w:tc>
          <w:tcPr>
            <w:tcW w:w="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6"/>
                <w:szCs w:val="16"/>
                <w:color w:val="auto"/>
              </w:rPr>
            </w:pPr>
          </w:p>
        </w:tc>
        <w:tc>
          <w:tcPr>
            <w:tcW w:w="1320" w:type="dxa"/>
            <w:vAlign w:val="bottom"/>
          </w:tcPr>
          <w:p>
            <w:pPr>
              <w:ind w:left="11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6"/>
                <w:szCs w:val="16"/>
                <w:color w:val="auto"/>
              </w:rPr>
            </w:pPr>
          </w:p>
        </w:tc>
        <w:tc>
          <w:tcPr>
            <w:tcW w:w="1320" w:type="dxa"/>
            <w:vAlign w:val="bottom"/>
          </w:tcPr>
          <w:p>
            <w:pPr>
              <w:ind w:left="11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20,951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2820" w:type="dxa"/>
            <w:vAlign w:val="bottom"/>
            <w:tcBorders>
              <w:bottom w:val="single" w:sz="8" w:color="CFF0FC"/>
            </w:tcBorders>
            <w:gridSpan w:val="3"/>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March 2026</w:t>
            </w:r>
          </w:p>
        </w:tc>
        <w:tc>
          <w:tcPr>
            <w:tcW w:w="11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ind w:left="11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ind w:left="112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20,951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282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15"/>
                <w:szCs w:val="15"/>
                <w:color w:val="auto"/>
              </w:rPr>
            </w:pPr>
          </w:p>
        </w:tc>
        <w:tc>
          <w:tcPr>
            <w:tcW w:w="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5"/>
                <w:szCs w:val="15"/>
                <w:color w:val="auto"/>
              </w:rPr>
            </w:pPr>
          </w:p>
        </w:tc>
        <w:tc>
          <w:tcPr>
            <w:tcW w:w="1320" w:type="dxa"/>
            <w:vAlign w:val="bottom"/>
          </w:tcPr>
          <w:p>
            <w:pPr>
              <w:ind w:left="11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5"/>
                <w:szCs w:val="15"/>
                <w:color w:val="auto"/>
              </w:rPr>
            </w:pPr>
          </w:p>
        </w:tc>
        <w:tc>
          <w:tcPr>
            <w:tcW w:w="1320" w:type="dxa"/>
            <w:vAlign w:val="bottom"/>
          </w:tcPr>
          <w:p>
            <w:pPr>
              <w:ind w:left="11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20,951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-239395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-239395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-239395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-239395</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440" w:right="160" w:hanging="436"/>
        <w:spacing w:after="0" w:line="250"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2023, the Company’s Board of Directors authorized a new $50 million stock buyback program (the "Repurchase Plan"). Purchases under the Repurchase Plan have been and will be made in the open market or through privately negotiated transactions, depending upon market conditions and other factors. No purchases under the Repurchase Plan were made during the quarter ended March 31, 2026.</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20"/>
          </w:cols>
          <w:pgMar w:left="1080" w:top="117" w:right="1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40" w:type="dxa"/>
            <w:vAlign w:val="bottom"/>
            <w:gridSpan w:val="3"/>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Employment Agreement, dated as of October 22, 2018, by and between Magnachip Semiconductor Corporation and</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200" w:type="dxa"/>
            <w:vAlign w:val="bottom"/>
            <w:tcBorders>
              <w:top w:val="single" w:sz="8" w:color="0000FF"/>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rPr>
              <w:t>Seunghoon Lee.</w:t>
            </w:r>
          </w:p>
        </w:tc>
        <w:tc>
          <w:tcPr>
            <w:tcW w:w="7200" w:type="dxa"/>
            <w:vAlign w:val="bottom"/>
            <w:tcBorders>
              <w:top w:val="single" w:sz="8" w:color="0000FF"/>
            </w:tcBorders>
            <w:gridSpan w:val="7"/>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line="264" w:lineRule="exact"/>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 Securities Exchange Act of 1934 of the Principal</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Executive Officer.</w:t>
            </w:r>
          </w:p>
        </w:tc>
        <w:tc>
          <w:tcPr>
            <w:tcW w:w="40" w:type="dxa"/>
            <w:vAlign w:val="bottom"/>
            <w:tcBorders>
              <w:top w:val="single" w:sz="8" w:color="0000FF"/>
              <w:bottom w:val="single" w:sz="8" w:color="0000EE"/>
            </w:tcBorders>
          </w:tcPr>
          <w:p>
            <w:pPr>
              <w:spacing w:after="0"/>
              <w:rPr>
                <w:sz w:val="14"/>
                <w:szCs w:val="14"/>
                <w:color w:val="auto"/>
              </w:rPr>
            </w:pPr>
          </w:p>
        </w:tc>
        <w:tc>
          <w:tcPr>
            <w:tcW w:w="6920" w:type="dxa"/>
            <w:vAlign w:val="bottom"/>
            <w:tcBorders>
              <w:top w:val="single" w:sz="8" w:color="0000FF"/>
            </w:tcBorders>
            <w:gridSpan w:val="3"/>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line="264" w:lineRule="exact"/>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 Securities Exchange Act of 1934 of the Principal</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828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Financial Officer.</w:t>
            </w: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500" w:type="dxa"/>
            <w:vAlign w:val="bottom"/>
            <w:tcBorders>
              <w:top w:val="single" w:sz="8" w:color="0000FF"/>
              <w:bottom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Principal Executive Officer.</w:t>
            </w:r>
          </w:p>
        </w:tc>
        <w:tc>
          <w:tcPr>
            <w:tcW w:w="6240" w:type="dxa"/>
            <w:vAlign w:val="bottom"/>
            <w:tcBorders>
              <w:top w:val="single" w:sz="8" w:color="0000FF"/>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460" w:type="dxa"/>
            <w:vAlign w:val="bottom"/>
            <w:tcBorders>
              <w:top w:val="single" w:sz="8" w:color="0000FF"/>
              <w:bottom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of the Principal Financial Officer.</w:t>
            </w:r>
          </w:p>
        </w:tc>
        <w:tc>
          <w:tcPr>
            <w:tcW w:w="6280" w:type="dxa"/>
            <w:vAlign w:val="bottom"/>
            <w:tcBorders>
              <w:top w:val="single" w:sz="8" w:color="0000FF"/>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r>
              <w:rPr>
                <w:rFonts w:ascii="Times New Roman" w:cs="Times New Roman" w:eastAsia="Times New Roman" w:hAnsi="Times New Roman"/>
                <w:sz w:val="24"/>
                <w:szCs w:val="24"/>
                <w:color w:val="auto"/>
                <w:vertAlign w:val="superscript"/>
              </w:rPr>
              <w:t>#</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Footnotes:</w:t>
      </w:r>
    </w:p>
    <w:p>
      <w:pPr>
        <w:spacing w:after="0" w:line="64" w:lineRule="exact"/>
        <w:rPr>
          <w:sz w:val="20"/>
          <w:szCs w:val="20"/>
          <w:color w:val="auto"/>
        </w:rPr>
      </w:pPr>
    </w:p>
    <w:p>
      <w:pPr>
        <w:ind w:left="360" w:hanging="356"/>
        <w:spacing w:after="0"/>
        <w:tabs>
          <w:tab w:leader="none" w:pos="36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Filed herewith</w:t>
      </w:r>
    </w:p>
    <w:p>
      <w:pPr>
        <w:ind w:left="360" w:hanging="356"/>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7" w:lineRule="exact"/>
        <w:rPr>
          <w:sz w:val="20"/>
          <w:szCs w:val="20"/>
          <w:color w:val="auto"/>
        </w:rPr>
      </w:pPr>
    </w:p>
    <w:p>
      <w:pPr>
        <w:ind w:left="360" w:hanging="356"/>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117" w:right="11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(Registrant)</w:t>
      </w:r>
    </w:p>
    <w:p>
      <w:pPr>
        <w:spacing w:after="0" w:line="165" w:lineRule="exact"/>
        <w:rPr>
          <w:sz w:val="20"/>
          <w:szCs w:val="20"/>
          <w:color w:val="auto"/>
        </w:rPr>
      </w:pPr>
    </w:p>
    <w:p>
      <w:pPr>
        <w:ind w:left="4880" w:right="3080" w:hanging="5156"/>
        <w:spacing w:after="0" w:line="252" w:lineRule="auto"/>
        <w:tabs>
          <w:tab w:leader="none" w:pos="4860" w:val="left"/>
        </w:tabs>
        <w:rPr>
          <w:sz w:val="20"/>
          <w:szCs w:val="20"/>
          <w:color w:val="auto"/>
        </w:rPr>
      </w:pPr>
      <w:r>
        <w:rPr>
          <w:rFonts w:ascii="Times New Roman" w:cs="Times New Roman" w:eastAsia="Times New Roman" w:hAnsi="Times New Roman"/>
          <w:sz w:val="18"/>
          <w:szCs w:val="18"/>
          <w:color w:val="auto"/>
        </w:rPr>
        <w:t>Dated: May 8, 2026</w:t>
      </w:r>
      <w:r>
        <w:rPr>
          <w:sz w:val="20"/>
          <w:szCs w:val="20"/>
          <w:color w:val="auto"/>
        </w:rPr>
        <w:tab/>
      </w:r>
      <w:r>
        <w:rPr>
          <w:rFonts w:ascii="Times New Roman" w:cs="Times New Roman" w:eastAsia="Times New Roman" w:hAnsi="Times New Roman"/>
          <w:sz w:val="17"/>
          <w:szCs w:val="17"/>
          <w:color w:val="auto"/>
        </w:rPr>
        <w:t>By: /s/ Camillo Martino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-120015</wp:posOffset>
            </wp:positionV>
            <wp:extent cx="28975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ind w:left="5160"/>
        <w:spacing w:after="0" w:line="220" w:lineRule="auto"/>
        <w:rPr>
          <w:sz w:val="20"/>
          <w:szCs w:val="20"/>
          <w:color w:val="auto"/>
        </w:rPr>
      </w:pPr>
      <w:r>
        <w:rPr>
          <w:rFonts w:ascii="Times New Roman" w:cs="Times New Roman" w:eastAsia="Times New Roman" w:hAnsi="Times New Roman"/>
          <w:sz w:val="18"/>
          <w:szCs w:val="18"/>
          <w:color w:val="auto"/>
        </w:rPr>
        <w:t>Chairman and Interim Chief Executive Officer</w:t>
      </w:r>
    </w:p>
    <w:p>
      <w:pPr>
        <w:ind w:left="5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65"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Dated: May 8, 2026</w:t>
      </w:r>
      <w:r>
        <w:rPr>
          <w:sz w:val="20"/>
          <w:szCs w:val="20"/>
          <w:color w:val="auto"/>
        </w:rPr>
        <w:tab/>
      </w:r>
      <w:r>
        <w:rPr>
          <w:rFonts w:ascii="Times New Roman" w:cs="Times New Roman" w:eastAsia="Times New Roman" w:hAnsi="Times New Roman"/>
          <w:sz w:val="17"/>
          <w:szCs w:val="17"/>
          <w:color w:val="auto"/>
        </w:rPr>
        <w:t>By: /s/ Shinyoung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8890</wp:posOffset>
            </wp:positionV>
            <wp:extent cx="28975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5160"/>
        <w:spacing w:after="0" w:line="237" w:lineRule="auto"/>
        <w:rPr>
          <w:sz w:val="20"/>
          <w:szCs w:val="20"/>
          <w:color w:val="auto"/>
        </w:rPr>
      </w:pPr>
      <w:r>
        <w:rPr>
          <w:rFonts w:ascii="Times New Roman" w:cs="Times New Roman" w:eastAsia="Times New Roman" w:hAnsi="Times New Roman"/>
          <w:sz w:val="18"/>
          <w:szCs w:val="18"/>
          <w:color w:val="auto"/>
        </w:rPr>
        <w:t>Shinyoung Park</w:t>
      </w:r>
    </w:p>
    <w:p>
      <w:pPr>
        <w:ind w:left="516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jc w:val="right"/>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7" w:right="1159" w:bottom="1440" w:gutter="0" w:footer="0" w:header="0"/>
        </w:sectPr>
      </w:pPr>
    </w:p>
    <w:bookmarkStart w:id="45" w:name="page46"/>
    <w:bookmarkEnd w:id="45"/>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6"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0"/>
          <w:szCs w:val="20"/>
          <w:color w:val="auto"/>
        </w:rPr>
        <w:t>This Employment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entered into on October 22, 2018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 made by and between Seunghoon Lee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MagnaChip Semiconductor Corporation, a Delaware corporation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and MagnaChip Semiconductor, Ltd. (together with any of its Affiliates as may employ the Executive from time to time, any and all successors thereto, and Parent,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6" w:lineRule="exact"/>
        <w:rPr>
          <w:sz w:val="20"/>
          <w:szCs w:val="20"/>
          <w:color w:val="auto"/>
        </w:rPr>
      </w:pPr>
    </w:p>
    <w:p>
      <w:pPr>
        <w:jc w:val="both"/>
        <w:ind w:left="300" w:right="319" w:firstLine="640"/>
        <w:spacing w:after="0" w:line="242" w:lineRule="auto"/>
        <w:tabs>
          <w:tab w:leader="none" w:pos="13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Executive desire to enter into this Agreement to assure the Company of the continued exclusive services of the Executive and to set forth the rights and duties of the parties hereto.</w:t>
      </w:r>
    </w:p>
    <w:p>
      <w:pPr>
        <w:spacing w:after="0" w:line="173" w:lineRule="exact"/>
        <w:rPr>
          <w:rFonts w:ascii="Times New Roman" w:cs="Times New Roman" w:eastAsia="Times New Roman" w:hAnsi="Times New Roman"/>
          <w:sz w:val="20"/>
          <w:szCs w:val="20"/>
          <w:color w:val="auto"/>
        </w:rPr>
      </w:pPr>
    </w:p>
    <w:p>
      <w:pPr>
        <w:jc w:val="both"/>
        <w:ind w:left="300" w:right="319" w:firstLine="640"/>
        <w:spacing w:after="0" w:line="249" w:lineRule="auto"/>
        <w:tabs>
          <w:tab w:leader="none" w:pos="13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herein, this Agreement is intended to supersede any prior agreements or understandings, whether formal or informal, between the Executive and the Company or any of its Affiliates (as defined below), including, without limitation, the letter agreement, dated as of November 3, 2015, by and between the Executive, the Company and Parent (the “</w:t>
      </w:r>
      <w:r>
        <w:rPr>
          <w:rFonts w:ascii="Times New Roman" w:cs="Times New Roman" w:eastAsia="Times New Roman" w:hAnsi="Times New Roman"/>
          <w:sz w:val="20"/>
          <w:szCs w:val="20"/>
          <w:u w:val="single" w:color="auto"/>
          <w:color w:val="auto"/>
        </w:rPr>
        <w:t>Prior Agreement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6" w:lineRule="exact"/>
        <w:rPr>
          <w:sz w:val="20"/>
          <w:szCs w:val="20"/>
          <w:color w:val="auto"/>
        </w:rPr>
      </w:pPr>
    </w:p>
    <w:p>
      <w:pPr>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NOW, THEREFORE, in consideration of the foregoing and of the respective covenants and agreements set forth below, the parties hereto agree as follows:</w:t>
      </w:r>
    </w:p>
    <w:p>
      <w:pPr>
        <w:spacing w:after="0" w:line="168" w:lineRule="exact"/>
        <w:rPr>
          <w:sz w:val="20"/>
          <w:szCs w:val="20"/>
          <w:color w:val="auto"/>
        </w:rPr>
      </w:pPr>
    </w:p>
    <w:p>
      <w:pPr>
        <w:ind w:left="740" w:hanging="448"/>
        <w:spacing w:after="0"/>
        <w:tabs>
          <w:tab w:leader="none" w:pos="7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meaning set forth in the preamble 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shall have the meaning set forth in Section 3(a).</w:t>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shall have the meaning set forth in Section 3(b).</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Directors of the Company.</w:t>
      </w:r>
    </w:p>
    <w:p>
      <w:pPr>
        <w:spacing w:after="0" w:line="216" w:lineRule="exact"/>
        <w:rPr>
          <w:sz w:val="20"/>
          <w:szCs w:val="20"/>
          <w:color w:val="auto"/>
        </w:rPr>
      </w:pPr>
    </w:p>
    <w:p>
      <w:pPr>
        <w:jc w:val="both"/>
        <w:ind w:left="300" w:right="299" w:firstLine="640"/>
        <w:spacing w:after="0" w:line="239" w:lineRule="auto"/>
        <w:tabs>
          <w:tab w:leader="none" w:pos="118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to terminate the Executive’s employment pursuant to Section 4(a)(iii) hereunder upon (i) the Executive’s conviction of, or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a felony or other crime involving moral turpitude (or, in each case, equivalent crimes in a jurisdiction other than the United States), but excluding minor traffic violations; (ii) the Executive’s commission of fraud, embezzlement, or misappropriation of funds; (iii) a breach by the Executive of his fiduciary duty to the Company or any of its Affiliates; (iv) the Executive’s refusal to fulfill the Executive’s duties and responsibilities (other than by reason of death or Disability) to the Company or any of its Affiliates; (v) the Executive’s material violation of any established lawful policy of the Company or any of its Affiliates; (vi) the Executive’s material breach of any of the terms of any agreement the Executive has with the Company or any of its Affiliates; (vii) the Executive’s habitual use of illicit drugs or habitual abuse of alcohol that affects his job performance; or (viii) any gross negligence, material misconduct, or material wrongful act or omission on the Executive’s part in connection with the Executive’s duties and responsibilities to the Company or any of its Affiliates. The Company may terminate the Executive’s employment for Cause under this Agreement following issuance to the Executive of written notice of the circumstances the Company believes constitute Cause within ninety (90) days after it becomes aware of such circumstances;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if the basis for termination is curable, then the Executive shall have fifteen (15)</w:t>
      </w:r>
    </w:p>
    <w:p>
      <w:pPr>
        <w:sectPr>
          <w:pgSz w:w="11900" w:h="16838" w:orient="portrait"/>
          <w:cols w:equalWidth="0" w:num="1">
            <w:col w:w="9019"/>
          </w:cols>
          <w:pgMar w:left="1440" w:top="761"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500380</wp:posOffset>
            </wp:positionV>
            <wp:extent cx="703770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type w:val="continuous"/>
        </w:sectPr>
      </w:pPr>
    </w:p>
    <w:bookmarkStart w:id="46" w:name="page47"/>
    <w:bookmarkEnd w:id="46"/>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days after receipt of such written notice to cure such basis, and if not cured, the Company may terminate the Executive’s employment for Cause within ninety (90) days after the expiration of such cure period. If, within ninety (90) days subsequent to the Executive’s termination of employment for any reason other than by the Company for Cause, the Company determines that the Executive’s employment could have been terminated for Cause, the Executive’s employment will be deemed to have been terminated for Cause for all purposes, and the Executive will be required to disgorge to the Company all amounts received pursuant to this Agreement or otherwise on account of such termination that would not have been payable to the Executive had such termination been by the Company for Cause;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the Company’s ability to retroactively determine that the Executive’s employment could have been terminated for Cause under this sentence will cease upon the occurrence of a Change in Control.</w:t>
      </w:r>
    </w:p>
    <w:p>
      <w:pPr>
        <w:spacing w:after="0" w:line="17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has the meaning given to such term in the MagnaChip Semiconductor Corporation 2011 Equity Incentive Plan.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216" w:lineRule="exact"/>
        <w:rPr>
          <w:sz w:val="20"/>
          <w:szCs w:val="20"/>
          <w:color w:val="auto"/>
        </w:rPr>
      </w:pPr>
    </w:p>
    <w:p>
      <w:pPr>
        <w:jc w:val="both"/>
        <w:ind w:left="300" w:right="299" w:firstLine="640"/>
        <w:spacing w:after="0" w:line="254" w:lineRule="auto"/>
        <w:tabs>
          <w:tab w:leader="none" w:pos="118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shall mean (i) if the Executive’s employment is terminated by his death, the date of his death or (ii) if the Executive’s employment is terminated pursuant to Section 4(a) (ii)-(vi), the date specified or otherwise effective pursuant to Section 4(b).</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43" w:lineRule="auto"/>
        <w:tabs>
          <w:tab w:leader="none" w:pos="118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shall mean a finding by the Company of the Executive’s incapacitation through any illness, injury, accident or condition of either a physical or psychological nature that has resulted in his inability to perform the essential functions of his position, even with reasonable accommodations, for one hundred eighty (180) calendar days during any period of three hundred sixty-five (365) consecutive calendar days, and such incapacity is expected to continue.</w:t>
      </w:r>
    </w:p>
    <w:p>
      <w:pPr>
        <w:spacing w:after="0" w:line="1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shall have the meaning set forth in the preamble hereto.</w:t>
      </w:r>
    </w:p>
    <w:p>
      <w:pPr>
        <w:spacing w:after="0" w:line="216" w:lineRule="exact"/>
        <w:rPr>
          <w:sz w:val="20"/>
          <w:szCs w:val="20"/>
          <w:color w:val="auto"/>
        </w:rPr>
      </w:pPr>
    </w:p>
    <w:p>
      <w:pPr>
        <w:jc w:val="both"/>
        <w:ind w:left="300" w:right="319" w:firstLine="640"/>
        <w:spacing w:after="0" w:line="247" w:lineRule="auto"/>
        <w:tabs>
          <w:tab w:leader="none" w:pos="118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Base Salary</w:t>
      </w:r>
      <w:r>
        <w:rPr>
          <w:rFonts w:ascii="Times New Roman" w:cs="Times New Roman" w:eastAsia="Times New Roman" w:hAnsi="Times New Roman"/>
          <w:sz w:val="20"/>
          <w:szCs w:val="20"/>
          <w:color w:val="auto"/>
        </w:rPr>
        <w:t>” means the Executive’s Annual Base Salary as in effect immediately prior to the termination of the Executive’s employment (or, if clause (i) or (ii) of “Good Reason” is implicated, immediately before any relevant diminution of the Executive’s Annual Base Salary).</w:t>
      </w:r>
    </w:p>
    <w:p>
      <w:pPr>
        <w:spacing w:after="0" w:line="181"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19"/>
          <w:szCs w:val="19"/>
          <w:color w:val="auto"/>
        </w:rPr>
        <w:t>(m)The Executive shall have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to resign from his employment pursuant to Section 4(a)(v) in the event that any of the following actions are taken by the Company without his consent: (i) if upon or following a Change in Control, a diminution in the Executive’s Annual Base Salary, Target Annual Bonus opportunity; (ii) if prior to a Change in Control, a diminution in (A) the Executive’s Annual Base Salary, other than an across the board cumulative reduction of no more than fifteen (15%) that applies in a similar manner to all similarly-situated members of the senior management of the Company or (B) the Executive’s Target Annual Bonus opportunity (other than a reduction that occurs as a result of a reduction described in clause (A) hereof); (iii) the Company’s material breach of any of the material terms of any material agreement between the Executive and the Company or any of its Affiliates; or (iv) a non-temporary relocation of the Executive’s primary work location by the Company to a location that is more than thirty-five (35) miles from the Executive’s principal place of employment as of the date hereof (which the parties acknowledge is Seoul, South Korea and/or Cheongju, South Korea) and that increases the Executive’s one-way commute to work by more than thirty five (35) miles. The Executive will not have Good Reason to terminate the Executive’s employment and receive payments or benefits under Section 5(b) of this Agreement unless the Executive provides the Board with written notice of the circumstances the Executive believes constitute Good Reason within thirty (30) days after the occurrence of such circumstances. If the Company does not cure within fifteen (15) days after receipt of such written notice, then the Executive may terminate the Executive’s employment for Good Reason within ninety</w:t>
      </w:r>
    </w:p>
    <w:p>
      <w:pPr>
        <w:spacing w:after="0" w:line="16" w:lineRule="exact"/>
        <w:rPr>
          <w:sz w:val="20"/>
          <w:szCs w:val="20"/>
          <w:color w:val="auto"/>
        </w:rPr>
      </w:pPr>
    </w:p>
    <w:p>
      <w:pPr>
        <w:ind w:left="300" w:right="319" w:hanging="8"/>
        <w:spacing w:after="0" w:line="246" w:lineRule="auto"/>
        <w:tabs>
          <w:tab w:leader="none" w:pos="74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expiration of such cure period. If the Executive terminates the Executive’s employment prior to the expiration of the fifteen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7" w:name="page48"/>
    <w:bookmarkEnd w:id="47"/>
    <w:p>
      <w:pPr>
        <w:ind w:left="300" w:right="299" w:hanging="8"/>
        <w:spacing w:after="0" w:line="269" w:lineRule="auto"/>
        <w:tabs>
          <w:tab w:leader="none" w:pos="69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cure period or more than ninety (90) days after the expiration of the cure period, the Executive will not be treated as having terminated the Executive’s employment for Good Reason.</w:t>
      </w:r>
    </w:p>
    <w:p>
      <w:pPr>
        <w:spacing w:after="0" w:line="159" w:lineRule="exact"/>
        <w:rPr>
          <w:rFonts w:ascii="Times New Roman" w:cs="Times New Roman" w:eastAsia="Times New Roman" w:hAnsi="Times New Roman"/>
          <w:sz w:val="20"/>
          <w:szCs w:val="20"/>
          <w:color w:val="auto"/>
        </w:rPr>
      </w:pPr>
    </w:p>
    <w:p>
      <w:pPr>
        <w:ind w:left="1220" w:hanging="280"/>
        <w:spacing w:after="0"/>
        <w:tabs>
          <w:tab w:leader="none" w:pos="12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Inventions</w:t>
      </w:r>
      <w:r>
        <w:rPr>
          <w:rFonts w:ascii="Times New Roman" w:cs="Times New Roman" w:eastAsia="Times New Roman" w:hAnsi="Times New Roman"/>
          <w:sz w:val="20"/>
          <w:szCs w:val="20"/>
          <w:color w:val="auto"/>
        </w:rPr>
        <w:t>” shall have the meaning set forth in Section 7(c)(i).</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shall have the meaning set forth in Section 4(b).</w:t>
      </w:r>
    </w:p>
    <w:p>
      <w:pPr>
        <w:spacing w:after="0" w:line="20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shall have the meaning set forth in the preamble hereto.</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(r) “</w:t>
      </w:r>
      <w:r>
        <w:rPr>
          <w:rFonts w:ascii="Times New Roman" w:cs="Times New Roman" w:eastAsia="Times New Roman" w:hAnsi="Times New Roman"/>
          <w:sz w:val="20"/>
          <w:szCs w:val="20"/>
          <w:u w:val="single" w:color="auto"/>
          <w:color w:val="auto"/>
        </w:rPr>
        <w:t>Proprietary Rights</w:t>
      </w:r>
      <w:r>
        <w:rPr>
          <w:rFonts w:ascii="Times New Roman" w:cs="Times New Roman" w:eastAsia="Times New Roman" w:hAnsi="Times New Roman"/>
          <w:sz w:val="20"/>
          <w:szCs w:val="20"/>
          <w:color w:val="auto"/>
        </w:rPr>
        <w:t>” shall have the meaning set forth in Section 7(c)(i).</w:t>
      </w:r>
    </w:p>
    <w:p>
      <w:pPr>
        <w:spacing w:after="0" w:line="216" w:lineRule="exact"/>
        <w:rPr>
          <w:sz w:val="20"/>
          <w:szCs w:val="20"/>
          <w:color w:val="auto"/>
        </w:rPr>
      </w:pPr>
    </w:p>
    <w:p>
      <w:pPr>
        <w:jc w:val="both"/>
        <w:ind w:left="300" w:right="319" w:firstLine="648"/>
        <w:spacing w:after="0" w:line="281" w:lineRule="auto"/>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9"/>
          <w:szCs w:val="19"/>
          <w:u w:val="single" w:color="auto"/>
          <w:color w:val="auto"/>
        </w:rPr>
        <w:t>Target Annual Bonus</w:t>
      </w:r>
      <w:r>
        <w:rPr>
          <w:rFonts w:ascii="Times New Roman" w:cs="Times New Roman" w:eastAsia="Times New Roman" w:hAnsi="Times New Roman"/>
          <w:sz w:val="19"/>
          <w:szCs w:val="19"/>
          <w:color w:val="auto"/>
        </w:rPr>
        <w:t>” means the Executive’s target Annual Bonus, expressed as a percentage of the Annual Base Salary, under the terms of the Company’s Profit Sharing Plan as are then in effect.</w:t>
      </w:r>
    </w:p>
    <w:p>
      <w:pPr>
        <w:spacing w:after="0" w:line="150" w:lineRule="exact"/>
        <w:rPr>
          <w:sz w:val="20"/>
          <w:szCs w:val="20"/>
          <w:color w:val="auto"/>
        </w:rPr>
      </w:pPr>
    </w:p>
    <w:p>
      <w:pPr>
        <w:ind w:left="1180" w:hanging="240"/>
        <w:spacing w:after="0"/>
        <w:tabs>
          <w:tab w:leader="none" w:pos="118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shall have the meaning set forth in Section 2(b).</w:t>
      </w:r>
    </w:p>
    <w:p>
      <w:pPr>
        <w:spacing w:after="0" w:line="215" w:lineRule="exact"/>
        <w:rPr>
          <w:rFonts w:ascii="Times New Roman" w:cs="Times New Roman" w:eastAsia="Times New Roman" w:hAnsi="Times New Roman"/>
          <w:sz w:val="20"/>
          <w:szCs w:val="20"/>
          <w:color w:val="auto"/>
        </w:rPr>
      </w:pPr>
    </w:p>
    <w:p>
      <w:pPr>
        <w:ind w:left="740" w:hanging="448"/>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181"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The Company shall employ the Executive, and the Executive shall be employed by the Company, for the period set forth in Section 2(b), in the position set forth in Section 2(c), and upon the other terms and conditions herein provided.</w:t>
      </w:r>
    </w:p>
    <w:p>
      <w:pPr>
        <w:spacing w:after="0" w:line="174" w:lineRule="exact"/>
        <w:rPr>
          <w:sz w:val="20"/>
          <w:szCs w:val="20"/>
          <w:color w:val="auto"/>
        </w:rPr>
      </w:pPr>
    </w:p>
    <w:p>
      <w:pPr>
        <w:ind w:left="300" w:right="299" w:firstLine="648"/>
        <w:spacing w:after="0" w:line="25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Term of Employment</w:t>
      </w:r>
      <w:r>
        <w:rPr>
          <w:rFonts w:ascii="Times New Roman" w:cs="Times New Roman" w:eastAsia="Times New Roman" w:hAnsi="Times New Roman"/>
          <w:sz w:val="20"/>
          <w:szCs w:val="20"/>
          <w:color w:val="auto"/>
        </w:rPr>
        <w:t>. The term of this Agreement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shall begin on the Effective Date and remain in effect, until terminated as provided in Section 4.</w:t>
      </w:r>
    </w:p>
    <w:p>
      <w:pPr>
        <w:spacing w:after="0" w:line="173" w:lineRule="exact"/>
        <w:rPr>
          <w:sz w:val="20"/>
          <w:szCs w:val="20"/>
          <w:color w:val="auto"/>
        </w:rPr>
      </w:pPr>
    </w:p>
    <w:p>
      <w:pPr>
        <w:ind w:left="1180" w:hanging="240"/>
        <w:spacing w:after="0"/>
        <w:tabs>
          <w:tab w:leader="none" w:pos="11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40" w:right="299" w:firstLine="1295"/>
        <w:spacing w:after="0" w:line="239" w:lineRule="auto"/>
        <w:tabs>
          <w:tab w:leader="none" w:pos="205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Term, the Executive shall serve as Executive Vice President of Manufacturing of MagnaChip Semiconductor, Ltd., with responsibilities, duties and authority customary for such position;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the Board or the Chief Executive Officer of the Company (the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xml:space="preserve">”) may alter such responsibilities, duties and authority from time to time. The Executive shall also serve as an officer of other Affiliates of the Company as requested by the Board or the CEO. Except as otherwise provided herein, the Executive shall not be entitled to any additional compensation for service as a member of the Board or other positions or titles he may hold with any Affiliate of the Company to the extent he is so appointed. The Executive shall report to the CEO or any other officer of the Company as may be designated by the Board or the CEO. The Executive agrees to observe and comply with the Company’s rules and policies as adopted from time to time by the Company. The Executive shall devote his full business time, skill, attention, and best efforts to the performance of his duties hereunder;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the Executive shall be entitled to (A) serve on civic, charitable, and religious boards and (B) manage the Executive’s personal and family investments, in each case, to the extent that such activities do not materially interfere with the performance of the Executive’s duties and responsibilities hereunder, are not in conflict with the business interests of the Company or its Affiliates, and do not otherwise compete with the business of the Company or its Affiliates.</w:t>
      </w:r>
    </w:p>
    <w:p>
      <w:pPr>
        <w:spacing w:after="0" w:line="184" w:lineRule="exact"/>
        <w:rPr>
          <w:sz w:val="20"/>
          <w:szCs w:val="20"/>
          <w:color w:val="auto"/>
        </w:rPr>
      </w:pPr>
    </w:p>
    <w:p>
      <w:pPr>
        <w:ind w:left="540" w:right="319" w:firstLine="1296"/>
        <w:spacing w:after="0" w:line="269" w:lineRule="auto"/>
        <w:rPr>
          <w:sz w:val="20"/>
          <w:szCs w:val="20"/>
          <w:color w:val="auto"/>
        </w:rPr>
      </w:pPr>
      <w:r>
        <w:rPr>
          <w:rFonts w:ascii="Times New Roman" w:cs="Times New Roman" w:eastAsia="Times New Roman" w:hAnsi="Times New Roman"/>
          <w:sz w:val="20"/>
          <w:szCs w:val="20"/>
          <w:color w:val="auto"/>
        </w:rPr>
        <w:t>(ii)The Executive’s employment shall be principally based at the Company’s offices in Seoul, South Korea or Cheongju, South Korea. The Executive shall perform his duties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8" w:name="page49"/>
    <w:bookmarkEnd w:id="48"/>
    <w:p>
      <w:pPr>
        <w:ind w:left="540" w:right="299"/>
        <w:spacing w:after="0" w:line="269" w:lineRule="auto"/>
        <w:rPr>
          <w:sz w:val="20"/>
          <w:szCs w:val="20"/>
          <w:color w:val="auto"/>
        </w:rPr>
      </w:pPr>
      <w:r>
        <w:rPr>
          <w:rFonts w:ascii="Times New Roman" w:cs="Times New Roman" w:eastAsia="Times New Roman" w:hAnsi="Times New Roman"/>
          <w:sz w:val="20"/>
          <w:szCs w:val="20"/>
          <w:color w:val="auto"/>
        </w:rPr>
        <w:t>responsibilities to the Company at such principal place of employment and at such other location(s) to which the Company may reasonably require the Executive to travel for Company business purposes.</w:t>
      </w:r>
    </w:p>
    <w:p>
      <w:pPr>
        <w:spacing w:after="0" w:line="159" w:lineRule="exact"/>
        <w:rPr>
          <w:sz w:val="20"/>
          <w:szCs w:val="20"/>
          <w:color w:val="auto"/>
        </w:rPr>
      </w:pPr>
    </w:p>
    <w:p>
      <w:pPr>
        <w:ind w:left="740" w:hanging="448"/>
        <w:spacing w:after="0"/>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Related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47" w:lineRule="auto"/>
        <w:tabs>
          <w:tab w:leader="none" w:pos="1181"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 During the Term, the Executive shall receive a base salary at a rate of Two Hundred Fifty Million Korean Won (KRW 250,000,000) per annum, which shall be paid in accordance with the customary payroll practices of the Company (the “</w:t>
      </w:r>
      <w:r>
        <w:rPr>
          <w:rFonts w:ascii="Times New Roman" w:cs="Times New Roman" w:eastAsia="Times New Roman" w:hAnsi="Times New Roman"/>
          <w:sz w:val="20"/>
          <w:szCs w:val="20"/>
          <w:u w:val="single" w:color="auto"/>
          <w:color w:val="auto"/>
        </w:rPr>
        <w:t>Annual Base Salary</w:t>
      </w: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With respect to each calendar year that ends during the Term, the Executive shall be eligible to receive an annual cash bonus (the “</w:t>
      </w: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under the terms of the Company’s Profit Sharing Plan as are then in effect. It is currently intended that the Board will set the Executive’s target Annual Bonus at 50%of the Executive’s Annual Base Salary.</w:t>
      </w:r>
    </w:p>
    <w:p>
      <w:pPr>
        <w:spacing w:after="0" w:line="166" w:lineRule="exact"/>
        <w:rPr>
          <w:sz w:val="20"/>
          <w:szCs w:val="20"/>
          <w:color w:val="auto"/>
        </w:rPr>
      </w:pPr>
    </w:p>
    <w:p>
      <w:pPr>
        <w:jc w:val="both"/>
        <w:ind w:left="300" w:right="299" w:firstLine="640"/>
        <w:spacing w:after="0" w:line="241" w:lineRule="auto"/>
        <w:tabs>
          <w:tab w:leader="none" w:pos="118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On or before October 31, 2018, subject to the Executive’s continued employment on such date, the Executive will receive equity grants in respect of 2018 in the form of (i) annual operation planning-based performance stock units (“</w:t>
      </w:r>
      <w:r>
        <w:rPr>
          <w:rFonts w:ascii="Times New Roman" w:cs="Times New Roman" w:eastAsia="Times New Roman" w:hAnsi="Times New Roman"/>
          <w:sz w:val="20"/>
          <w:szCs w:val="20"/>
          <w:u w:val="single" w:color="auto"/>
          <w:color w:val="auto"/>
        </w:rPr>
        <w:t>AOP PSUs</w:t>
      </w:r>
      <w:r>
        <w:rPr>
          <w:rFonts w:ascii="Times New Roman" w:cs="Times New Roman" w:eastAsia="Times New Roman" w:hAnsi="Times New Roman"/>
          <w:sz w:val="20"/>
          <w:szCs w:val="20"/>
          <w:color w:val="auto"/>
        </w:rPr>
        <w:t>”), (ii) relative total shareholder return-based performance stock units (“</w:t>
      </w:r>
      <w:r>
        <w:rPr>
          <w:rFonts w:ascii="Times New Roman" w:cs="Times New Roman" w:eastAsia="Times New Roman" w:hAnsi="Times New Roman"/>
          <w:sz w:val="20"/>
          <w:szCs w:val="20"/>
          <w:u w:val="single" w:color="auto"/>
          <w:color w:val="auto"/>
        </w:rPr>
        <w:t>TSR PSUs</w:t>
      </w:r>
      <w:r>
        <w:rPr>
          <w:rFonts w:ascii="Times New Roman" w:cs="Times New Roman" w:eastAsia="Times New Roman" w:hAnsi="Times New Roman"/>
          <w:sz w:val="20"/>
          <w:szCs w:val="20"/>
          <w:color w:val="auto"/>
        </w:rPr>
        <w:t>”), and (iii) time-based restricted stock units, in each case pursuant to an award agreement in a form generally consistent with the applicable 2018 award agreements with the Company’s senior executives, as well as the grant amounts and achievement criteria set forth in Exhibit 1. Subject to the Executive’s continued employment with the Company, the Executive will receive additional AOP PSU grants with respect to 2019 and 2020 (the “</w:t>
      </w:r>
      <w:r>
        <w:rPr>
          <w:rFonts w:ascii="Times New Roman" w:cs="Times New Roman" w:eastAsia="Times New Roman" w:hAnsi="Times New Roman"/>
          <w:sz w:val="20"/>
          <w:szCs w:val="20"/>
          <w:u w:val="single" w:color="auto"/>
          <w:color w:val="auto"/>
        </w:rPr>
        <w:t>2019 Grants</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u w:val="single" w:color="auto"/>
          <w:color w:val="auto"/>
        </w:rPr>
        <w:t>2020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Grants</w:t>
      </w:r>
      <w:r>
        <w:rPr>
          <w:rFonts w:ascii="Times New Roman" w:cs="Times New Roman" w:eastAsia="Times New Roman" w:hAnsi="Times New Roman"/>
          <w:sz w:val="20"/>
          <w:szCs w:val="20"/>
          <w:color w:val="auto"/>
        </w:rPr>
        <w:t>”, respectively) that are generally subject to same terms as in the 2018 AOP PSU award agreement, except as otherwise set forth in Exhibit 1.</w:t>
      </w:r>
    </w:p>
    <w:p>
      <w:pPr>
        <w:spacing w:after="0" w:line="188"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During the Term, the Executive shall be entitled to participate in the employee benefit plans, programs, and arrangements of the Company now (or, to the extent determined by the Board, hereafter) in effect, in accordance with their terms, including, without limitation, medical and welfare benefits. For the avoidance of doubt, nothing in this Agreement shall limit or otherwise affect the rights that the Executive may have under any statutory pension under Korean law that is accrued to his account as of the effective date of his separation from the Company.</w:t>
      </w:r>
    </w:p>
    <w:p>
      <w:pPr>
        <w:spacing w:after="0" w:line="188" w:lineRule="exact"/>
        <w:rPr>
          <w:sz w:val="20"/>
          <w:szCs w:val="20"/>
          <w:color w:val="auto"/>
        </w:rPr>
      </w:pPr>
    </w:p>
    <w:p>
      <w:pPr>
        <w:jc w:val="both"/>
        <w:ind w:left="300" w:right="319" w:firstLine="640"/>
        <w:spacing w:after="0" w:line="274" w:lineRule="auto"/>
        <w:tabs>
          <w:tab w:leader="none" w:pos="118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Vacation</w:t>
      </w:r>
      <w:r>
        <w:rPr>
          <w:rFonts w:ascii="Times New Roman" w:cs="Times New Roman" w:eastAsia="Times New Roman" w:hAnsi="Times New Roman"/>
          <w:sz w:val="19"/>
          <w:szCs w:val="19"/>
          <w:color w:val="auto"/>
        </w:rPr>
        <w:t>. During the Term, the Executive shall be entitled to paid-time-off (including vacation days) on an annual basis in accordance with the Company’s applicable policies and practices. Any vacation shall be taken at the reasonable and mutual convenience of the Company and the Executive.</w:t>
      </w:r>
    </w:p>
    <w:p>
      <w:pPr>
        <w:spacing w:after="0" w:line="142" w:lineRule="exact"/>
        <w:rPr>
          <w:rFonts w:ascii="Times New Roman" w:cs="Times New Roman" w:eastAsia="Times New Roman" w:hAnsi="Times New Roman"/>
          <w:sz w:val="19"/>
          <w:szCs w:val="19"/>
          <w:color w:val="auto"/>
        </w:rPr>
      </w:pPr>
    </w:p>
    <w:p>
      <w:pPr>
        <w:jc w:val="both"/>
        <w:ind w:left="300" w:right="299" w:firstLine="640"/>
        <w:spacing w:after="0" w:line="254" w:lineRule="auto"/>
        <w:tabs>
          <w:tab w:leader="none" w:pos="118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112395</wp:posOffset>
            </wp:positionV>
            <wp:extent cx="1688465" cy="508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21" w:lineRule="exact"/>
        <w:rPr>
          <w:sz w:val="20"/>
          <w:szCs w:val="20"/>
          <w:color w:val="auto"/>
        </w:rPr>
      </w:pPr>
    </w:p>
    <w:p>
      <w:pPr>
        <w:ind w:left="300" w:right="319" w:hanging="8"/>
        <w:spacing w:after="0" w:line="229" w:lineRule="auto"/>
        <w:tabs>
          <w:tab w:leader="none" w:pos="405"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Subsequent to the Effective Date of this Agreement, Mr. Seunghoon Lee’s Annual Base Salary was increased by the Company 20%, effective beginning October 1, 2020, and by a further 10% effective beginning January 27, 2022. Accordingly, Mr. Lee’s Annual Base Salary as of April 30, 2026 was KRW 330,000,000 (approximately US$223,562 based on the KRW/USD exchange rate of 1,476.10:1 as of April 30, 2026 as quoted by KEB Hana Bank).</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487045</wp:posOffset>
            </wp:positionV>
            <wp:extent cx="70377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9" w:name="page50"/>
    <w:bookmarkEnd w:id="49"/>
    <w:p>
      <w:pPr>
        <w:ind w:left="300" w:right="319" w:hanging="8"/>
        <w:spacing w:after="0" w:line="269" w:lineRule="auto"/>
        <w:tabs>
          <w:tab w:leader="none" w:pos="7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The Executive’s employment hereunder may be terminated without any breach of this Agreement only under the following circumstances:</w:t>
      </w:r>
    </w:p>
    <w:p>
      <w:pPr>
        <w:spacing w:after="0" w:line="159"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Circumstances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The Executive’s employment hereunder shall terminate upon his death.</w:t>
      </w:r>
    </w:p>
    <w:p>
      <w:pPr>
        <w:spacing w:after="0" w:line="202" w:lineRule="exact"/>
        <w:rPr>
          <w:sz w:val="20"/>
          <w:szCs w:val="20"/>
          <w:color w:val="auto"/>
        </w:rPr>
      </w:pPr>
    </w:p>
    <w:p>
      <w:pPr>
        <w:jc w:val="both"/>
        <w:ind w:left="540" w:right="299" w:firstLine="1296"/>
        <w:spacing w:after="0" w:line="245"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If the Executive has incurred a Disability, the Company may give the Executive written notice of its intention to terminate the Executive’s employment. In that event, the Executive’s employment with the Company shall terminate effective on the later of the thirtieth (30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day after receipt of such notice by the Executive and the date specified in such notice, provided that within the thirty (30) day period following receipt of such notice, the Executive shall not have returned to full-time performance of his duties hereunder.</w:t>
      </w:r>
    </w:p>
    <w:p>
      <w:pPr>
        <w:spacing w:after="0" w:line="171" w:lineRule="exact"/>
        <w:rPr>
          <w:sz w:val="20"/>
          <w:szCs w:val="20"/>
          <w:color w:val="auto"/>
        </w:rPr>
      </w:pPr>
    </w:p>
    <w:p>
      <w:pPr>
        <w:jc w:val="both"/>
        <w:ind w:left="540" w:right="299" w:firstLine="1296"/>
        <w:spacing w:after="0" w:line="26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Termination with Cause</w:t>
      </w:r>
      <w:r>
        <w:rPr>
          <w:rFonts w:ascii="Times New Roman" w:cs="Times New Roman" w:eastAsia="Times New Roman" w:hAnsi="Times New Roman"/>
          <w:sz w:val="20"/>
          <w:szCs w:val="20"/>
          <w:color w:val="auto"/>
        </w:rPr>
        <w:t>. The Company may terminate the Executive’s employment with Cause.</w:t>
      </w:r>
    </w:p>
    <w:p>
      <w:pPr>
        <w:spacing w:after="0" w:line="159" w:lineRule="exact"/>
        <w:rPr>
          <w:sz w:val="20"/>
          <w:szCs w:val="20"/>
          <w:color w:val="auto"/>
        </w:rPr>
      </w:pPr>
    </w:p>
    <w:p>
      <w:pPr>
        <w:jc w:val="both"/>
        <w:ind w:left="540" w:right="319" w:firstLine="1296"/>
        <w:spacing w:after="0" w:line="26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color w:val="auto"/>
        </w:rPr>
        <w:t>. The Company may terminate the Executive’s employment without Cause.</w:t>
      </w:r>
    </w:p>
    <w:p>
      <w:pPr>
        <w:spacing w:after="0" w:line="159" w:lineRule="exact"/>
        <w:rPr>
          <w:sz w:val="20"/>
          <w:szCs w:val="20"/>
          <w:color w:val="auto"/>
        </w:rPr>
      </w:pPr>
    </w:p>
    <w:p>
      <w:pPr>
        <w:jc w:val="both"/>
        <w:ind w:left="540" w:right="319" w:firstLine="1296"/>
        <w:spacing w:after="0" w:line="269"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20"/>
          <w:szCs w:val="20"/>
          <w:u w:val="single" w:color="auto"/>
          <w:color w:val="auto"/>
        </w:rPr>
        <w:t>Resignation with Good Reason</w:t>
      </w:r>
      <w:r>
        <w:rPr>
          <w:rFonts w:ascii="Times New Roman" w:cs="Times New Roman" w:eastAsia="Times New Roman" w:hAnsi="Times New Roman"/>
          <w:sz w:val="20"/>
          <w:szCs w:val="20"/>
          <w:color w:val="auto"/>
        </w:rPr>
        <w:t>. The Executive may resign from his employment with Good Reason.</w:t>
      </w:r>
    </w:p>
    <w:p>
      <w:pPr>
        <w:spacing w:after="0" w:line="159" w:lineRule="exact"/>
        <w:rPr>
          <w:sz w:val="20"/>
          <w:szCs w:val="20"/>
          <w:color w:val="auto"/>
        </w:rPr>
      </w:pPr>
    </w:p>
    <w:p>
      <w:pPr>
        <w:jc w:val="both"/>
        <w:ind w:left="540" w:right="299" w:firstLine="1296"/>
        <w:spacing w:after="0" w:line="247"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20"/>
          <w:szCs w:val="20"/>
          <w:u w:val="single" w:color="auto"/>
          <w:color w:val="auto"/>
        </w:rPr>
        <w:t>Resignation without Good Reason</w:t>
      </w:r>
      <w:r>
        <w:rPr>
          <w:rFonts w:ascii="Times New Roman" w:cs="Times New Roman" w:eastAsia="Times New Roman" w:hAnsi="Times New Roman"/>
          <w:sz w:val="20"/>
          <w:szCs w:val="20"/>
          <w:color w:val="auto"/>
        </w:rPr>
        <w:t>. The Executive may resign from his employment without Good Reason upon not less than thirty (30) days’ advance written notice to the Board.</w:t>
      </w:r>
    </w:p>
    <w:p>
      <w:pPr>
        <w:spacing w:after="0" w:line="181"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Any termination of the Executive’s employment by the Company or by the Executive under this Section 4 (other than termination pursuant to Section 4(a)(i)) shall be communicated by a written notice to the other party hereto (i) indicating the specific termination provision in this Agreement relied upon, (ii) except with respect to a termination pursuant to Section 4(a)</w:t>
      </w:r>
    </w:p>
    <w:p>
      <w:pPr>
        <w:spacing w:after="0" w:line="3" w:lineRule="exact"/>
        <w:rPr>
          <w:sz w:val="20"/>
          <w:szCs w:val="20"/>
          <w:color w:val="auto"/>
        </w:rPr>
      </w:pPr>
    </w:p>
    <w:p>
      <w:pPr>
        <w:jc w:val="both"/>
        <w:ind w:left="300" w:right="299" w:hanging="8"/>
        <w:spacing w:after="0" w:line="238" w:lineRule="auto"/>
        <w:tabs>
          <w:tab w:leader="none" w:pos="65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(vi), setting forth in reasonable detail the facts and circumstances claimed to provide a basis for termination of the Executive’s employment under the provision so indicated, and (iii) specifying a Date of Termination as provided herein (a “</w:t>
      </w: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xml:space="preserve">”). If the Company delivers a Notice of Termination under Section 4(a)(ii), the Date of Termination shall be at least thirty (30) days following the date of such notice;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such notice need not specify a Date of Termination, in which case the Date of Termination shall be determined pursuant to Section 4(a)(ii). If the Company delivers a Notice of Termination under Section 4(a)(iii) or 4(a)(iv), the Date of Termination shall be, in the Company’s sole discretion, the date on which the Executive receives such notice or any subsequent date selected by the Company. If the Executive delivers a Notice of Termination under Section 4(a)(v) or (a) (vi), the Date of Termination shall be at least thirty (30) days following the date of such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The failure by the Company or the Executive to set forth in the Notice of Termination any fact or circumstance that contributes to a showing of Cause or Good Reason shall not waive any right of the Company or the Executive hereunder or preclude the Company or the Executive from asserting such fact or circumstance in enforcing the Company’s or the Executive’s rights hereunder.</w:t>
      </w:r>
    </w:p>
    <w:p>
      <w:pPr>
        <w:spacing w:after="0" w:line="191" w:lineRule="exact"/>
        <w:rPr>
          <w:rFonts w:ascii="Times New Roman" w:cs="Times New Roman" w:eastAsia="Times New Roman" w:hAnsi="Times New Roman"/>
          <w:sz w:val="20"/>
          <w:szCs w:val="20"/>
          <w:color w:val="auto"/>
        </w:rPr>
      </w:pPr>
    </w:p>
    <w:p>
      <w:pPr>
        <w:jc w:val="both"/>
        <w:ind w:left="300" w:right="299" w:firstLine="640"/>
        <w:spacing w:after="0" w:line="247" w:lineRule="auto"/>
        <w:tabs>
          <w:tab w:leader="none" w:pos="118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and Resignation of All Positions</w:t>
      </w:r>
      <w:r>
        <w:rPr>
          <w:rFonts w:ascii="Times New Roman" w:cs="Times New Roman" w:eastAsia="Times New Roman" w:hAnsi="Times New Roman"/>
          <w:sz w:val="20"/>
          <w:szCs w:val="20"/>
          <w:color w:val="auto"/>
        </w:rPr>
        <w:t>. Upon termination of the Executive’s employment for any reason, the Executive agrees to resign, as of the Date of Termination or such other date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0" w:name="page51"/>
    <w:bookmarkEnd w:id="50"/>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requested by the Company, from all positions and offices that the Executive then holds with the Company and its Affiliates. In addition, as applicable, if the Executive fails to resign from any such positions or offices, the Company shall be relieved of its obligations under Section 5(b) hereof.</w:t>
      </w:r>
    </w:p>
    <w:p>
      <w:pPr>
        <w:spacing w:after="0" w:line="174" w:lineRule="exact"/>
        <w:rPr>
          <w:sz w:val="20"/>
          <w:szCs w:val="20"/>
          <w:color w:val="auto"/>
        </w:rPr>
      </w:pPr>
    </w:p>
    <w:p>
      <w:pPr>
        <w:ind w:left="740" w:hanging="448"/>
        <w:spacing w:after="0"/>
        <w:tabs>
          <w:tab w:leader="none" w:pos="7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Obligations upon Termination of Employment</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181"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 General</w:t>
      </w:r>
      <w:r>
        <w:rPr>
          <w:rFonts w:ascii="Times New Roman" w:cs="Times New Roman" w:eastAsia="Times New Roman" w:hAnsi="Times New Roman"/>
          <w:sz w:val="19"/>
          <w:szCs w:val="19"/>
          <w:color w:val="auto"/>
        </w:rPr>
        <w:t>. Subject to Section 10(a),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Section 3(f), and (iv) any vested payment or benefit arising from the Executive’s participation in, or benefits under, any qualified employee benefit plans, programs, or arrangements under Section 3(d) (other than severance plans, programs, or arrangements), which amounts shall be payable in accordance with the terms and conditions of such employee benefit plans, programs, or arrangements including, where applicable, any death and disability benefits (the “</w:t>
      </w:r>
      <w:r>
        <w:rPr>
          <w:rFonts w:ascii="Times New Roman" w:cs="Times New Roman" w:eastAsia="Times New Roman" w:hAnsi="Times New Roman"/>
          <w:sz w:val="19"/>
          <w:szCs w:val="19"/>
          <w:u w:val="single" w:color="auto"/>
          <w:color w:val="auto"/>
        </w:rPr>
        <w:t>Accrued Obligations</w:t>
      </w:r>
      <w:r>
        <w:rPr>
          <w:rFonts w:ascii="Times New Roman" w:cs="Times New Roman" w:eastAsia="Times New Roman" w:hAnsi="Times New Roman"/>
          <w:sz w:val="19"/>
          <w:szCs w:val="19"/>
          <w:color w:val="auto"/>
        </w:rPr>
        <w:t>”). Notwithstanding anything to the contrary, upon a Termination with Cause, and only in the case of such a termination, the Accrued Obligations shall not include the amount set forth in clause (ii) of the preceding sentence or any other amounts or benefits not payable in accordance with the terms and conditions of any employee benefit plan, program or arrangement.</w:t>
      </w:r>
    </w:p>
    <w:p>
      <w:pPr>
        <w:spacing w:after="0" w:line="167"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Termination without Cause or Resignation with Good Reason</w:t>
      </w:r>
      <w:r>
        <w:rPr>
          <w:rFonts w:ascii="Times New Roman" w:cs="Times New Roman" w:eastAsia="Times New Roman" w:hAnsi="Times New Roman"/>
          <w:sz w:val="20"/>
          <w:szCs w:val="20"/>
          <w:color w:val="auto"/>
        </w:rPr>
        <w:t>. Subject to Section 10(a) and subject to the Executive’s continued compliance with the covenants contained in Sections 6, 7 and 10, if the Company terminates the Executive’s employment without Cause pursuant to Section 4(a)(iv) or the Executive resigns from his employment with Good Reason pursuant to Section 4(a)(v), the Company shall, in addition to the Accrued Obligations:</w:t>
      </w:r>
    </w:p>
    <w:p>
      <w:pPr>
        <w:spacing w:after="0" w:line="185" w:lineRule="exact"/>
        <w:rPr>
          <w:sz w:val="20"/>
          <w:szCs w:val="20"/>
          <w:color w:val="auto"/>
        </w:rPr>
      </w:pPr>
    </w:p>
    <w:p>
      <w:pPr>
        <w:jc w:val="both"/>
        <w:ind w:left="540" w:right="299" w:firstLine="1295"/>
        <w:spacing w:after="0" w:line="238" w:lineRule="auto"/>
        <w:tabs>
          <w:tab w:leader="none" w:pos="205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pay the Final Base Salary in accordance with the Company’s customary payroll practices during the period beginning on the Date of Termination and ending on the earlier to occur of (A) the first anniversary of the Date of Termination and (B) the first date that the Executive violates any covenant contained in Section 6 or 7 (the “</w:t>
      </w:r>
      <w:r>
        <w:rPr>
          <w:rFonts w:ascii="Times New Roman" w:cs="Times New Roman" w:eastAsia="Times New Roman" w:hAnsi="Times New Roman"/>
          <w:sz w:val="20"/>
          <w:szCs w:val="20"/>
          <w:u w:val="single" w:color="auto"/>
          <w:color w:val="auto"/>
        </w:rPr>
        <w:t>Salary Payment</w:t>
      </w:r>
      <w:r>
        <w:rPr>
          <w:rFonts w:ascii="Times New Roman" w:cs="Times New Roman" w:eastAsia="Times New Roman" w:hAnsi="Times New Roman"/>
          <w:sz w:val="20"/>
          <w:szCs w:val="20"/>
          <w:color w:val="auto"/>
        </w:rPr>
        <w:t>”), and if the Date of Termination occurs after June 30 of the calendar year in which the Date of Termination occurs, pay the Executive a prorated portion of the Annual Bonus payable with respect to the calendar year in which such termination occurs, determined on a daily basis, based on actual performance achievement for such year, and payable if and when annual bonuses are paid to other senior executives of the Company with respect to such year (the “</w:t>
      </w:r>
      <w:r>
        <w:rPr>
          <w:rFonts w:ascii="Times New Roman" w:cs="Times New Roman" w:eastAsia="Times New Roman" w:hAnsi="Times New Roman"/>
          <w:sz w:val="20"/>
          <w:szCs w:val="20"/>
          <w:u w:val="single" w:color="auto"/>
          <w:color w:val="auto"/>
        </w:rPr>
        <w:t>Pro Rata Bonus</w:t>
      </w:r>
      <w:r>
        <w:rPr>
          <w:rFonts w:ascii="Times New Roman" w:cs="Times New Roman" w:eastAsia="Times New Roman" w:hAnsi="Times New Roman"/>
          <w:sz w:val="20"/>
          <w:szCs w:val="20"/>
          <w:color w:val="auto"/>
        </w:rPr>
        <w:t>”, together with the Salary Payment, the “</w:t>
      </w: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Notwithstanding the foregoing, if the Company terminates the Executive’s employment without Cause pursuant to Section 4(a)(iv) or the Executive resigns from his employment with Good Reason pursuant to Section 4(a)(v), in each case, either (x) during a period of time when the Company is party to a definitive corporate transaction agreement, the consummation of which would result in a Change in Control or (y) within eighteen (18) months following a Change in Control (such a termination a “</w:t>
      </w:r>
      <w:r>
        <w:rPr>
          <w:rFonts w:ascii="Times New Roman" w:cs="Times New Roman" w:eastAsia="Times New Roman" w:hAnsi="Times New Roman"/>
          <w:sz w:val="20"/>
          <w:szCs w:val="20"/>
          <w:u w:val="single" w:color="auto"/>
          <w:color w:val="auto"/>
        </w:rPr>
        <w:t>CIC Qualified Termination</w:t>
      </w:r>
      <w:r>
        <w:rPr>
          <w:rFonts w:ascii="Times New Roman" w:cs="Times New Roman" w:eastAsia="Times New Roman" w:hAnsi="Times New Roman"/>
          <w:sz w:val="20"/>
          <w:szCs w:val="20"/>
          <w:color w:val="auto"/>
        </w:rPr>
        <w:t>”), then the Severance Payment shall instead equal the sum of (xx) one (1) times the Final Base Salary, payable over twelve (12) months and (yy) if the Date of Termination occurs after June 30 of the calendar year in which the Date of Termination occurs, an amount equal to an additional month of base salary for each month that has passed since July 1 through the Date of Termination (rounding up for any partial months), and payable in a lump sum on the sixtieth (60th) day following the Date of Termination, in each case so long as the Release (as defined below) has become effective and the Executive has not violated any covenant contained in Section 6 or 7, in which case the Severance Payment shall be forfeited; for the avoidance of doubt, if the Date of Termination occurs in July, the payment in clause (yy) above will be equal to one (1) month’s base salary; 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487045</wp:posOffset>
            </wp:positionV>
            <wp:extent cx="70377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1" w:name="page52"/>
    <w:bookmarkEnd w:id="51"/>
    <w:p>
      <w:pPr>
        <w:jc w:val="both"/>
        <w:ind w:left="540" w:right="299" w:firstLine="1296"/>
        <w:spacing w:after="0" w:line="249" w:lineRule="auto"/>
        <w:rPr>
          <w:sz w:val="20"/>
          <w:szCs w:val="20"/>
          <w:color w:val="auto"/>
        </w:rPr>
      </w:pPr>
      <w:r>
        <w:rPr>
          <w:rFonts w:ascii="Times New Roman" w:cs="Times New Roman" w:eastAsia="Times New Roman" w:hAnsi="Times New Roman"/>
          <w:sz w:val="20"/>
          <w:szCs w:val="20"/>
          <w:color w:val="auto"/>
        </w:rPr>
        <w:t>(ii)provide for vesting of outstanding unvested equity awards (A) for any awards granted prior to January 1, 2018, in full as of the Date of Termination, and (B) for any awards granted on or following January 1, 2018, as set forth in the applicable award agreement or on Exhibit 1, as applicable;</w:t>
      </w:r>
    </w:p>
    <w:p>
      <w:pPr>
        <w:spacing w:after="0" w:line="166"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all payments and benefits to be paid or provided pursuant to this Section 5(b) shall commence on the sixtieth (60th) day following the Date of Termination, and, only with respect to any cash payments, the initial installment of such payments shall include a lump-sum payment of all amounts accrued under this Section 5(b) from the Date of Termination through the date of such initial payment.</w:t>
      </w:r>
    </w:p>
    <w:p>
      <w:pPr>
        <w:spacing w:after="0" w:line="185" w:lineRule="exact"/>
        <w:rPr>
          <w:sz w:val="20"/>
          <w:szCs w:val="20"/>
          <w:color w:val="auto"/>
        </w:rPr>
      </w:pPr>
    </w:p>
    <w:p>
      <w:pPr>
        <w:jc w:val="both"/>
        <w:ind w:left="300" w:right="299"/>
        <w:spacing w:after="0" w:line="239" w:lineRule="auto"/>
        <w:rPr>
          <w:sz w:val="20"/>
          <w:szCs w:val="20"/>
          <w:color w:val="auto"/>
        </w:rPr>
      </w:pPr>
      <w:r>
        <w:rPr>
          <w:rFonts w:ascii="Times New Roman" w:cs="Times New Roman" w:eastAsia="Times New Roman" w:hAnsi="Times New Roman"/>
          <w:sz w:val="20"/>
          <w:szCs w:val="20"/>
          <w:color w:val="auto"/>
        </w:rPr>
        <w:t xml:space="preserve">Notwithstanding any provision in this Agreement to the contrary, if the Executive breaches any of the covenants contained in Sections 6 and 7 hereof, the Company shall have the right to cease providing any payments or benefits under this Section 5(b) and, if requested, the Executive shall repay to the Company within sixty (60) days of such request any previously paid payments or benefits under this Section 5(b);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unless the Company provides the Executive with written notice of the circumstances it believes constitutes a breach of such covenants within ninety (90) days after it becomes aware of such circumstances;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basis for the alleged breach is curable, then the Executive shall have fifteen (15) days after receipt of such written notice to cure such basis.</w:t>
      </w:r>
    </w:p>
    <w:p>
      <w:pPr>
        <w:spacing w:after="0" w:line="193"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Payment of the amounts and benefits under this Section 5(b) is in lieu of any other severance or separation pay payable to the Executive whether under any employment agreement, offer letter or severance program, plan or policy, applicable law (including law of the Republic of Korea) or other statute,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limit or otherwise affect the rights of the Executive may have under any statutory pension under Korean law that has accrued to the Executive’s account as of the Date of Termination.</w:t>
      </w:r>
    </w:p>
    <w:p>
      <w:pPr>
        <w:spacing w:after="0" w:line="188" w:lineRule="exact"/>
        <w:rPr>
          <w:sz w:val="20"/>
          <w:szCs w:val="20"/>
          <w:color w:val="auto"/>
        </w:rPr>
      </w:pPr>
    </w:p>
    <w:p>
      <w:pPr>
        <w:jc w:val="both"/>
        <w:ind w:left="300" w:right="299" w:firstLine="640"/>
        <w:spacing w:after="0" w:line="242" w:lineRule="auto"/>
        <w:tabs>
          <w:tab w:leader="none" w:pos="118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Notwithstanding anything herein to the contrary, the amounts payable and benefits to be provided to the Executive under Section 5(b), other than the Accrued Obligations, shall be contingent upon and subject to the Executive’s (or the Executive’s estate’s, if applicable) execution and non-revocation of a general waiver and release of claims agreement generally consistent with the form attached as Exhibit 2 hereto (as appropriately modified to comply with applicable law, the “</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(and the expiration of any applicable revocation period), on or prior to the sixtieth (60th) day following the Date of Termination.</w:t>
      </w:r>
    </w:p>
    <w:p>
      <w:pPr>
        <w:spacing w:after="0" w:line="18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obligations of any of the parties under this Agreement which by their nature may require either partial or total performance after the termination of the Term or this Agreement (including those under Sections 6, 7, 8, 9, and 10) will survive any termination of this Agreement.</w:t>
      </w:r>
    </w:p>
    <w:p>
      <w:pPr>
        <w:spacing w:after="0" w:line="174" w:lineRule="exact"/>
        <w:rPr>
          <w:sz w:val="20"/>
          <w:szCs w:val="20"/>
          <w:color w:val="auto"/>
        </w:rPr>
      </w:pPr>
    </w:p>
    <w:p>
      <w:pPr>
        <w:ind w:left="740" w:hanging="448"/>
        <w:spacing w:after="0"/>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 Non-Solicitation; Non-Hire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0"/>
          <w:szCs w:val="20"/>
          <w:color w:val="auto"/>
        </w:rPr>
        <w:t>(a)To the fullest extent permitted by applicable law, the Executive agrees that during the Executive’s employment with the Company, and for the twelve (12) month period following the Executive’s termination of employment for any reason, the Executive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 Notwithstanding the foregoing, the Executive shall be permitted to acquire a passive stock or equity interest in such a business, provided that the stock or other equity interest acquired is not more than five percent (5%) of the outstanding interest in such business;</w:t>
      </w:r>
    </w:p>
    <w:p>
      <w:pPr>
        <w:spacing w:after="0" w:line="193"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(b)To the fullest extent permitted by applicable law, the Executive agrees that during the Executive’s employment with the Company, and for the twelve (12) month period following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487045</wp:posOffset>
            </wp:positionV>
            <wp:extent cx="703770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2" w:name="page53"/>
    <w:bookmarkEnd w:id="52"/>
    <w:p>
      <w:pPr>
        <w:jc w:val="both"/>
        <w:ind w:left="300" w:right="299"/>
        <w:spacing w:after="0" w:line="239" w:lineRule="auto"/>
        <w:rPr>
          <w:sz w:val="20"/>
          <w:szCs w:val="20"/>
          <w:color w:val="auto"/>
        </w:rPr>
      </w:pPr>
      <w:r>
        <w:rPr>
          <w:rFonts w:ascii="Times New Roman" w:cs="Times New Roman" w:eastAsia="Times New Roman" w:hAnsi="Times New Roman"/>
          <w:sz w:val="20"/>
          <w:szCs w:val="20"/>
          <w:color w:val="auto"/>
        </w:rPr>
        <w:t>Executive’s termination of employment for any reason, the Executive will not, directly or indirectly, on the Executive’s own behalf or on behalf of another (i) solicit, induce or attempt to solicit or induce any officer, director, employee or consultant of the Company to terminate their relationship with or leave the employ of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twelve (12) months preceding the Date of Termination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19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(c)In the event that the terms of this Section 6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Section 6 are reasonable in terms of duration, scope and area restrictions and are necessary to protect the goodwill of the Company. The Executive hereby authorizes the Company to inform any future employer or prospective employer of the existence and terms of Sections 6 and 7 of this Agreement without liability for interference with the Executive’s employment or prospective employment.</w:t>
      </w:r>
    </w:p>
    <w:p>
      <w:pPr>
        <w:spacing w:after="0" w:line="187" w:lineRule="exact"/>
        <w:rPr>
          <w:sz w:val="20"/>
          <w:szCs w:val="20"/>
          <w:color w:val="auto"/>
        </w:rPr>
      </w:pPr>
    </w:p>
    <w:p>
      <w:pPr>
        <w:jc w:val="both"/>
        <w:ind w:left="300" w:right="319" w:firstLine="648"/>
        <w:spacing w:after="0" w:line="255" w:lineRule="auto"/>
        <w:rPr>
          <w:sz w:val="20"/>
          <w:szCs w:val="20"/>
          <w:color w:val="auto"/>
        </w:rPr>
      </w:pPr>
      <w:r>
        <w:rPr>
          <w:rFonts w:ascii="Times New Roman" w:cs="Times New Roman" w:eastAsia="Times New Roman" w:hAnsi="Times New Roman"/>
          <w:sz w:val="20"/>
          <w:szCs w:val="20"/>
          <w:color w:val="auto"/>
        </w:rPr>
        <w:t>(d)As used in this Section 6, the term “Company” shall include Parent, the Company, and any direct or indirect subsidiaries thereof or any successors thereto.</w:t>
      </w:r>
    </w:p>
    <w:p>
      <w:pPr>
        <w:spacing w:after="0" w:line="173" w:lineRule="exact"/>
        <w:rPr>
          <w:sz w:val="20"/>
          <w:szCs w:val="20"/>
          <w:color w:val="auto"/>
        </w:rPr>
      </w:pPr>
    </w:p>
    <w:p>
      <w:pPr>
        <w:ind w:left="740" w:hanging="448"/>
        <w:spacing w:after="0"/>
        <w:tabs>
          <w:tab w:leader="none" w:pos="7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 Non-Disparagement; Intellectual Property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38" w:lineRule="auto"/>
        <w:tabs>
          <w:tab w:leader="none" w:pos="1181"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 Return of Property</w:t>
      </w:r>
      <w:r>
        <w:rPr>
          <w:rFonts w:ascii="Times New Roman" w:cs="Times New Roman" w:eastAsia="Times New Roman" w:hAnsi="Times New Roman"/>
          <w:sz w:val="20"/>
          <w:szCs w:val="20"/>
          <w:color w:val="auto"/>
        </w:rPr>
        <w:t>. The Executive recognizes and acknowledges that he has access to confidential information and/or has had or will have material contact with the Company’s customers, suppliers, licensees, representatives, agents, partners, licensors, or business relations. The Executive agrees that during his employment and in perpetuity thereafter, the Executive shall maintain in confidence and shall not directly, indirectly or otherwise, use, disseminate, disclose or publish, or use for the Executive’s benefit or the benefit of any Person,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the Executive’s termination of employment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204"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The Executive shall not, at any time during his employment and in perpetuity thereafter, directly or indirectly, knowingly disparage, criticize, or otherwise make derogatory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487045</wp:posOffset>
            </wp:positionV>
            <wp:extent cx="703770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3" w:name="page54"/>
    <w:bookmarkEnd w:id="53"/>
    <w:p>
      <w:pPr>
        <w:ind w:left="300" w:right="319"/>
        <w:spacing w:after="0" w:line="269" w:lineRule="auto"/>
        <w:rPr>
          <w:sz w:val="20"/>
          <w:szCs w:val="20"/>
          <w:color w:val="auto"/>
        </w:rPr>
      </w:pPr>
      <w:r>
        <w:rPr>
          <w:rFonts w:ascii="Times New Roman" w:cs="Times New Roman" w:eastAsia="Times New Roman" w:hAnsi="Times New Roman"/>
          <w:sz w:val="20"/>
          <w:szCs w:val="20"/>
          <w:color w:val="auto"/>
        </w:rPr>
        <w:t>statements regarding the Company, or any of its successors, directors or officers. The foregoing shall not be violated by the Executive’s truthful responses to legal process or inquiry by a governmental authority.</w:t>
      </w:r>
    </w:p>
    <w:p>
      <w:pPr>
        <w:spacing w:after="0" w:line="159" w:lineRule="exact"/>
        <w:rPr>
          <w:sz w:val="20"/>
          <w:szCs w:val="20"/>
          <w:color w:val="auto"/>
        </w:rPr>
      </w:pPr>
    </w:p>
    <w:p>
      <w:pPr>
        <w:ind w:left="1180" w:hanging="240"/>
        <w:spacing w:after="0"/>
        <w:tabs>
          <w:tab w:leader="none" w:pos="11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40" w:right="299" w:firstLine="1295"/>
        <w:spacing w:after="0" w:line="238" w:lineRule="auto"/>
        <w:tabs>
          <w:tab w:leader="none" w:pos="205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agrees that the results and proceeds of the Executive’s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Times New Roman" w:cs="Times New Roman" w:eastAsia="Times New Roman" w:hAnsi="Times New Roman"/>
          <w:sz w:val="20"/>
          <w:szCs w:val="20"/>
          <w:u w:val="single" w:color="auto"/>
          <w:color w:val="auto"/>
        </w:rPr>
        <w:t>Inventions</w:t>
      </w:r>
      <w:r>
        <w:rPr>
          <w:rFonts w:ascii="Times New Roman" w:cs="Times New Roman" w:eastAsia="Times New Roman" w:hAnsi="Times New Roman"/>
          <w:sz w:val="20"/>
          <w:szCs w:val="20"/>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Times New Roman" w:cs="Times New Roman" w:eastAsia="Times New Roman" w:hAnsi="Times New Roman"/>
          <w:sz w:val="20"/>
          <w:szCs w:val="20"/>
          <w:u w:val="single" w:color="auto"/>
          <w:color w:val="auto"/>
        </w:rPr>
        <w:t>Proprietary Rights</w:t>
      </w:r>
      <w:r>
        <w:rPr>
          <w:rFonts w:ascii="Times New Roman" w:cs="Times New Roman" w:eastAsia="Times New Roman" w:hAnsi="Times New Roman"/>
          <w:sz w:val="20"/>
          <w:szCs w:val="20"/>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 a work-made-for-hire and/or there are any Proprietary Rights which do not accrue to the Company under the immediately preceding sentence, then the Executive hereby irrevocably assigns and agrees to assign any and all of the Executive’s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Affiliates),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w:t>
      </w:r>
    </w:p>
    <w:p>
      <w:pPr>
        <w:spacing w:after="0" w:line="187" w:lineRule="exact"/>
        <w:rPr>
          <w:sz w:val="20"/>
          <w:szCs w:val="20"/>
          <w:color w:val="auto"/>
        </w:rPr>
      </w:pPr>
    </w:p>
    <w:p>
      <w:pPr>
        <w:jc w:val="both"/>
        <w:ind w:left="540" w:right="299" w:firstLine="1296"/>
        <w:spacing w:after="0" w:line="238" w:lineRule="auto"/>
        <w:rPr>
          <w:sz w:val="20"/>
          <w:szCs w:val="20"/>
          <w:color w:val="auto"/>
        </w:rPr>
      </w:pPr>
      <w:r>
        <w:rPr>
          <w:rFonts w:ascii="Times New Roman" w:cs="Times New Roman" w:eastAsia="Times New Roman" w:hAnsi="Times New Roman"/>
          <w:sz w:val="20"/>
          <w:szCs w:val="20"/>
          <w:color w:val="auto"/>
        </w:rPr>
        <w:t>(ii)The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Section 7(c)(ii) is subject to and shall not be deemed to limit, restrict or constitute any waiver by the Company of any Proprietary Rights of ownership to which the Company may be entitled by operation of law by virtue of the Executive’s employment with, or service to,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execute, verify, and deliver assignments of such Proprietary Rights to the Company or its designees. The Executive’s obligation to assist the Company with respect to Proprietary Rights relating to such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4" w:name="page55"/>
    <w:bookmarkEnd w:id="54"/>
    <w:p>
      <w:pPr>
        <w:ind w:left="540" w:right="299"/>
        <w:spacing w:after="0" w:line="269" w:lineRule="auto"/>
        <w:rPr>
          <w:sz w:val="20"/>
          <w:szCs w:val="20"/>
          <w:color w:val="auto"/>
        </w:rPr>
      </w:pPr>
      <w:r>
        <w:rPr>
          <w:rFonts w:ascii="Times New Roman" w:cs="Times New Roman" w:eastAsia="Times New Roman" w:hAnsi="Times New Roman"/>
          <w:sz w:val="20"/>
          <w:szCs w:val="20"/>
          <w:color w:val="auto"/>
        </w:rPr>
        <w:t>Inventions in any and all countries shall continue beyond the termination of the Executive’s employment with the Company.</w:t>
      </w:r>
    </w:p>
    <w:p>
      <w:pPr>
        <w:spacing w:after="0" w:line="159"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(d)As used in this Section 7, the term “Company” shall include Parent, the Company, and any direct or indirect subsidiaries thereof or any successors thereto.</w:t>
      </w:r>
    </w:p>
    <w:p>
      <w:pPr>
        <w:spacing w:after="0" w:line="146" w:lineRule="exact"/>
        <w:rPr>
          <w:sz w:val="20"/>
          <w:szCs w:val="20"/>
          <w:color w:val="auto"/>
        </w:rPr>
      </w:pPr>
    </w:p>
    <w:p>
      <w:pPr>
        <w:ind w:left="1180" w:hanging="240"/>
        <w:spacing w:after="0"/>
        <w:tabs>
          <w:tab w:leader="none" w:pos="11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Disclosures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40" w:right="299" w:firstLine="1295"/>
        <w:spacing w:after="0" w:line="242" w:lineRule="auto"/>
        <w:tabs>
          <w:tab w:leader="none" w:pos="205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Agreement will preclude, prohibit or restrict the Executive from (A) communicating with, any federal, state or local administrative or regulatory agency or authority, including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(B) participating or cooperating in any investigation conducted by any governmental agency or authority; or (C) filing a charge of discrimination with the United States Equal Employment Opportunity Commission or any other federal state or local administrative agency or regulatory authority.</w:t>
      </w:r>
    </w:p>
    <w:p>
      <w:pPr>
        <w:spacing w:after="0" w:line="188" w:lineRule="exact"/>
        <w:rPr>
          <w:sz w:val="20"/>
          <w:szCs w:val="20"/>
          <w:color w:val="auto"/>
        </w:rPr>
      </w:pPr>
    </w:p>
    <w:p>
      <w:pPr>
        <w:jc w:val="both"/>
        <w:ind w:left="540" w:right="299" w:firstLine="1296"/>
        <w:spacing w:after="0" w:line="241" w:lineRule="auto"/>
        <w:rPr>
          <w:sz w:val="20"/>
          <w:szCs w:val="20"/>
          <w:color w:val="auto"/>
        </w:rPr>
      </w:pPr>
      <w:r>
        <w:rPr>
          <w:rFonts w:ascii="Times New Roman" w:cs="Times New Roman" w:eastAsia="Times New Roman" w:hAnsi="Times New Roman"/>
          <w:sz w:val="20"/>
          <w:szCs w:val="20"/>
          <w:color w:val="auto"/>
        </w:rPr>
        <w:t>(ii)Nothing in this Agreement, or any other agreement between the parties, prohibits or is intended in any manner to prohibit, the Executive from (A) reporting a possible violation of federal or other applicable law or regulation to any governmental agency or entity, including the Department of Justice, the SEC, the U.S. Congress, and any governmental agency Inspector General, or (B) making other disclosures that are protected under whistleblower provisions of federal law or regulation. This Agreement does not limit the Executive’s right to receive an award (including, without limitation, a monetary reward) for information provided to the SEC. The Executive does not need the prior authorization of anyone at the Company to make any such reports or disclosures, and the Executive is not required to notify the Company that the Executive has made such reports or disclosures.</w:t>
      </w:r>
    </w:p>
    <w:p>
      <w:pPr>
        <w:spacing w:after="0" w:line="188" w:lineRule="exact"/>
        <w:rPr>
          <w:sz w:val="20"/>
          <w:szCs w:val="20"/>
          <w:color w:val="auto"/>
        </w:rPr>
      </w:pPr>
    </w:p>
    <w:p>
      <w:pPr>
        <w:jc w:val="both"/>
        <w:ind w:left="540" w:right="299" w:firstLine="1296"/>
        <w:spacing w:after="0" w:line="256" w:lineRule="auto"/>
        <w:rPr>
          <w:sz w:val="20"/>
          <w:szCs w:val="20"/>
          <w:color w:val="auto"/>
        </w:rPr>
      </w:pPr>
      <w:r>
        <w:rPr>
          <w:rFonts w:ascii="Times New Roman" w:cs="Times New Roman" w:eastAsia="Times New Roman" w:hAnsi="Times New Roman"/>
          <w:sz w:val="19"/>
          <w:szCs w:val="19"/>
          <w:color w:val="auto"/>
        </w:rPr>
        <w:t>(iii)Nothing in this Agreement or any other agreement or policy of the Company is intended to interfere with or restrain the immunity provided under 18 U.S.C. §1833(b). The Executive cannot be held criminally or civilly liable under any federal or state trade secret law for the disclosure of a trade secret that is made (A) (1) in confidence to federal, state or local government officials, directly or indirectly, or to an attorney, and (2) for the purpose of reporting or investigating a suspected violation of law; (B) in a complaint or other document filed in a lawsuit or other proceeding, if filed under seal; or (C) in connection with a lawsuit alleging retaliation for reporting a suspected violation of law, if filed under seal and does not disclose the trade secret, except pursuant to a court order.</w:t>
      </w:r>
    </w:p>
    <w:p>
      <w:pPr>
        <w:spacing w:after="0" w:line="161" w:lineRule="exact"/>
        <w:rPr>
          <w:sz w:val="20"/>
          <w:szCs w:val="20"/>
          <w:color w:val="auto"/>
        </w:rPr>
      </w:pPr>
    </w:p>
    <w:p>
      <w:pPr>
        <w:jc w:val="both"/>
        <w:ind w:left="540" w:right="299" w:firstLine="1296"/>
        <w:spacing w:after="0" w:line="254" w:lineRule="auto"/>
        <w:rPr>
          <w:sz w:val="20"/>
          <w:szCs w:val="20"/>
          <w:color w:val="auto"/>
        </w:rPr>
      </w:pPr>
      <w:r>
        <w:rPr>
          <w:rFonts w:ascii="Times New Roman" w:cs="Times New Roman" w:eastAsia="Times New Roman" w:hAnsi="Times New Roman"/>
          <w:sz w:val="20"/>
          <w:szCs w:val="20"/>
          <w:color w:val="auto"/>
        </w:rPr>
        <w:t>(iv)The foregoing provisions regarding protected disclosures are intended to comply with all applicable laws. If any laws are adopted, amended or repealed after the execution of this Agreement, this Section 7(e) shall be deemed to be amended to reflect the same.</w:t>
      </w:r>
    </w:p>
    <w:p>
      <w:pPr>
        <w:spacing w:after="0" w:line="174" w:lineRule="exact"/>
        <w:rPr>
          <w:sz w:val="20"/>
          <w:szCs w:val="20"/>
          <w:color w:val="auto"/>
        </w:rPr>
      </w:pPr>
    </w:p>
    <w:p>
      <w:pPr>
        <w:jc w:val="both"/>
        <w:ind w:left="300" w:right="299" w:hanging="8"/>
        <w:spacing w:after="0" w:line="255" w:lineRule="auto"/>
        <w:tabs>
          <w:tab w:leader="none" w:pos="74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Injunctive Relief</w:t>
      </w:r>
      <w:r>
        <w:rPr>
          <w:rFonts w:ascii="Times New Roman" w:cs="Times New Roman" w:eastAsia="Times New Roman" w:hAnsi="Times New Roman"/>
          <w:sz w:val="19"/>
          <w:szCs w:val="19"/>
          <w:color w:val="auto"/>
        </w:rPr>
        <w:t>. The Executive recognizes and acknowledges that a breach of any of the covenants contained in Sections 6 and 7 will cause irreparable damage to the Company and its goodwill, the exact amount of which will be difficult or impossible to ascertain, and that the remedies at law for any such breach will be inadequate. Accordingly, the Executive agrees that in the event of a breach or threatened breach of any of the covenants contained in Sections 6 and 7, in addition to any other remedy that may be available at law or in equity, the Company will be entitled to specific performance and injunctive relief (without posting a bond). In the event of any breach or violation by the Executive of any of the covenants contained in Section 6 and 7, the time period of such covenant with respect to the Executive shall, to the fullest extent permitted by law, be tolled until such breach or violation is resolved.</w:t>
      </w:r>
    </w:p>
    <w:p>
      <w:pPr>
        <w:spacing w:after="0" w:line="178" w:lineRule="exact"/>
        <w:rPr>
          <w:rFonts w:ascii="Times New Roman" w:cs="Times New Roman" w:eastAsia="Times New Roman" w:hAnsi="Times New Roman"/>
          <w:sz w:val="19"/>
          <w:szCs w:val="19"/>
          <w:color w:val="auto"/>
        </w:rPr>
      </w:pPr>
    </w:p>
    <w:p>
      <w:pPr>
        <w:jc w:val="both"/>
        <w:ind w:left="300" w:right="299" w:hanging="8"/>
        <w:spacing w:after="0" w:line="244" w:lineRule="auto"/>
        <w:tabs>
          <w:tab w:leader="none" w:pos="74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Executive agrees that, subject to the Executive’s reasonable availability, during and after the Executive’s employment by the Company, and without the necessity of the Company obtaining a subpoena or court order, the Executive shall provide reasonable cooperation in connection with any suit,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5" w:name="page56"/>
    <w:bookmarkEnd w:id="55"/>
    <w:p>
      <w:pPr>
        <w:jc w:val="both"/>
        <w:ind w:left="300" w:right="299" w:firstLine="441"/>
        <w:spacing w:after="0" w:line="239" w:lineRule="auto"/>
        <w:rPr>
          <w:sz w:val="20"/>
          <w:szCs w:val="20"/>
          <w:color w:val="auto"/>
        </w:rPr>
      </w:pPr>
      <w:r>
        <w:rPr>
          <w:rFonts w:ascii="Times New Roman" w:cs="Times New Roman" w:eastAsia="Times New Roman" w:hAnsi="Times New Roman"/>
          <w:sz w:val="20"/>
          <w:szCs w:val="20"/>
          <w:color w:val="auto"/>
        </w:rPr>
        <w:t xml:space="preserve">action or proceeding (or any appeal from any suit, action or proceeding), and any investigation and/or defense of any claims asserted against the Company Releasees (as defined in the Release), which relates to events occurring during the Executive’s employment (including furnishing relevant information and materials to the Company or its designee and/or providing testimony at depositions and at trial);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reimburse the Executive for reasonable out-of-pocket expenses the Executive incurs that are associated with any such cooperation;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cooperation occurring after the termination of the Executive’s employment shall be scheduled to the extent reasonably practicable so as not to unreasonably interfere with the Executive’s business or personal affairs. Notwithstanding anything herein to the contrary, the preceding cooperation covenant shall not apply to any suit, action, proceeding, investigation, defense or claim that arises out of or relates to a dispute between the Executive and any of the Company Releasees.</w:t>
      </w:r>
    </w:p>
    <w:p>
      <w:pPr>
        <w:spacing w:after="0" w:line="194" w:lineRule="exact"/>
        <w:rPr>
          <w:sz w:val="20"/>
          <w:szCs w:val="20"/>
          <w:color w:val="auto"/>
        </w:rPr>
      </w:pPr>
    </w:p>
    <w:p>
      <w:pPr>
        <w:ind w:left="740" w:hanging="448"/>
        <w:spacing w:after="0"/>
        <w:tabs>
          <w:tab w:leader="none" w:pos="7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of the Code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640"/>
        <w:spacing w:after="0" w:line="238" w:lineRule="auto"/>
        <w:tabs>
          <w:tab w:leader="none" w:pos="1181"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Effective Date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Notwithstanding any provision of this Agreement to the contrary, in the event that the Company determines that any amounts payable hereunder will be taxable currently to the Executive under Section 409A(a)(1)(A)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or to comply with the requirements of Section 409A and thereby avoid the application of penalty taxes thereunder;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this Section 10(a)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or any damages for failing to comply with Section 409A.</w:t>
      </w:r>
    </w:p>
    <w:p>
      <w:pPr>
        <w:spacing w:after="0" w:line="204"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u w:val="single" w:color="auto"/>
          <w:color w:val="auto"/>
        </w:rPr>
        <w:t>Separation from Service under Section 409A</w:t>
      </w:r>
      <w:r>
        <w:rPr>
          <w:rFonts w:ascii="Times New Roman" w:cs="Times New Roman" w:eastAsia="Times New Roman" w:hAnsi="Times New Roman"/>
          <w:sz w:val="19"/>
          <w:szCs w:val="19"/>
          <w:color w:val="auto"/>
        </w:rPr>
        <w:t xml:space="preserve">. To the extent Section 409A is applicable, notwithstanding any provision to the contrary in this Agreement: (i) no amount shall be payable pursuant to Section 5(a) or (b) unless the termination of the Executive’s employment constitutes a “separation from service” within the meaning of Section 1.409A-1(h) of the Department of Treasury Regulations; (ii) 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5(a) or (b), is required in order to avoid a prohibited distribution under Section 409A(a)(2)(B)(i) of the Code, such portion of the Executive’s termination benefits shall not be provided to the Executive prior to the earlier of (A) the expiration of the six-month period measured from the date of the Executive’s “separation from service” with the Company (as such term is defined in the Department of Treasury Regulations issued under Section 409A) and (B) the date of the Executive’s death;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upon the earlier of such dates, all payments deferred pursuant to this Section 10(b)(ii) shall be paid to the Executive in a lump sum, and any remaining payments due under this Agreement shall be paid as otherwise provided herein; (iii) the determination of whether the Executive is a “specified employee” for purposes of Section 409A(a)(2)(B)</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 of the Code as of the time 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6" w:name="page57"/>
    <w:bookmarkEnd w:id="56"/>
    <w:p>
      <w:pPr>
        <w:jc w:val="both"/>
        <w:ind w:left="300" w:right="299"/>
        <w:spacing w:after="0" w:line="239" w:lineRule="auto"/>
        <w:rPr>
          <w:sz w:val="20"/>
          <w:szCs w:val="20"/>
          <w:color w:val="auto"/>
        </w:rPr>
      </w:pPr>
      <w:r>
        <w:rPr>
          <w:rFonts w:ascii="Times New Roman" w:cs="Times New Roman" w:eastAsia="Times New Roman" w:hAnsi="Times New Roman"/>
          <w:sz w:val="20"/>
          <w:szCs w:val="20"/>
          <w:color w:val="auto"/>
        </w:rPr>
        <w:t>his separation from service shall be made by the Company in accordance with the terms of Section 409A of the Code and applicable guidance thereunder (including, without limitation, Section 1.409A-1(i) of the Department of Treasury Regulations and any successor provision thereto); (iv) for purposes of Section 409A of the Code, the Executive’s right to receive installment payments pursuant to Section 5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196" w:lineRule="exact"/>
        <w:rPr>
          <w:sz w:val="20"/>
          <w:szCs w:val="20"/>
          <w:color w:val="auto"/>
        </w:rPr>
      </w:pPr>
    </w:p>
    <w:p>
      <w:pPr>
        <w:ind w:left="740" w:hanging="448"/>
        <w:spacing w:after="0"/>
        <w:tabs>
          <w:tab w:leader="none" w:pos="7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280G of the Code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0"/>
          <w:szCs w:val="20"/>
          <w:color w:val="auto"/>
        </w:rPr>
        <w:t>(a)If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w:t>
      </w:r>
      <w:r>
        <w:rPr>
          <w:rFonts w:ascii="Times New Roman" w:cs="Times New Roman" w:eastAsia="Times New Roman" w:hAnsi="Times New Roman"/>
          <w:sz w:val="20"/>
          <w:szCs w:val="20"/>
          <w:u w:val="single" w:color="auto"/>
          <w:color w:val="auto"/>
        </w:rPr>
        <w:t>Transaction Payment</w:t>
      </w:r>
      <w:r>
        <w:rPr>
          <w:rFonts w:ascii="Times New Roman" w:cs="Times New Roman" w:eastAsia="Times New Roman" w:hAnsi="Times New Roman"/>
          <w:sz w:val="20"/>
          <w:szCs w:val="20"/>
          <w:color w:val="auto"/>
        </w:rPr>
        <w:t>”) would (i) constitute a “parachute payment” within the meaning of Section 280G of the Internal Revenue Code of 1986, and (ii) but for this sentence, be subject to the excise tax imposed by Section 4999 of the Code (the “</w:t>
      </w: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20"/>
          <w:szCs w:val="20"/>
          <w:u w:val="single" w:color="auto"/>
          <w:color w:val="auto"/>
        </w:rPr>
        <w:t>Full Payment</w:t>
      </w:r>
      <w:r>
        <w:rPr>
          <w:rFonts w:ascii="Times New Roman" w:cs="Times New Roman" w:eastAsia="Times New Roman" w:hAnsi="Times New Roman"/>
          <w:sz w:val="20"/>
          <w:szCs w:val="20"/>
          <w:color w:val="auto"/>
        </w:rPr>
        <w:t>”), or (2) payment of only a part of the Transaction Payment so that the Executive receives the largest payment possible without the imposition of the Excise Tax (a “</w:t>
      </w:r>
      <w:r>
        <w:rPr>
          <w:rFonts w:ascii="Times New Roman" w:cs="Times New Roman" w:eastAsia="Times New Roman" w:hAnsi="Times New Roman"/>
          <w:sz w:val="20"/>
          <w:szCs w:val="20"/>
          <w:u w:val="single" w:color="auto"/>
          <w:color w:val="auto"/>
        </w:rPr>
        <w:t>Reduced Payment</w:t>
      </w:r>
      <w:r>
        <w:rPr>
          <w:rFonts w:ascii="Times New Roman" w:cs="Times New Roman" w:eastAsia="Times New Roman" w:hAnsi="Times New Roman"/>
          <w:sz w:val="20"/>
          <w:szCs w:val="20"/>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first, reduction of cash payments, in reverse order of scheduled payment date (or if necessary, to zero), (2) then, reduction of non-cash and non-equity benefits provided to the Executive, on a pro rata basis (or if necessary, to zero), and (3) then, cancellation of the acceleration of vesting of equity award compensation in the reverse order of the date of grant of the Executive’s equity awards.</w:t>
      </w:r>
    </w:p>
    <w:p>
      <w:pPr>
        <w:spacing w:after="0" w:line="19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(b)Unless the Executive and the Company otherwise agree in writing, any determination required under this section shall be made in writing by the Company’s independent public accountants (the “</w:t>
      </w:r>
      <w:r>
        <w:rPr>
          <w:rFonts w:ascii="Times New Roman" w:cs="Times New Roman" w:eastAsia="Times New Roman" w:hAnsi="Times New Roman"/>
          <w:sz w:val="20"/>
          <w:szCs w:val="20"/>
          <w:u w:val="single" w:color="auto"/>
          <w:color w:val="auto"/>
        </w:rPr>
        <w:t>Accountants</w:t>
      </w:r>
      <w:r>
        <w:rPr>
          <w:rFonts w:ascii="Times New Roman" w:cs="Times New Roman" w:eastAsia="Times New Roman" w:hAnsi="Times New Roman"/>
          <w:sz w:val="20"/>
          <w:szCs w:val="20"/>
          <w:color w:val="auto"/>
        </w:rPr>
        <w:t>”), whose determination shall be conclusive and binding upon the Executive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11(b).</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487045</wp:posOffset>
            </wp:positionV>
            <wp:extent cx="70377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7" w:name="page58"/>
    <w:bookmarkEnd w:id="57"/>
    <w:p>
      <w:pPr>
        <w:jc w:val="both"/>
        <w:ind w:left="300" w:right="299" w:hanging="8"/>
        <w:spacing w:after="0" w:line="241" w:lineRule="auto"/>
        <w:tabs>
          <w:tab w:leader="none" w:pos="74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Successors</w:t>
      </w:r>
      <w:r>
        <w:rPr>
          <w:rFonts w:ascii="Times New Roman" w:cs="Times New Roman" w:eastAsia="Times New Roman" w:hAnsi="Times New Roman"/>
          <w:sz w:val="20"/>
          <w:szCs w:val="20"/>
          <w:color w:val="auto"/>
        </w:rPr>
        <w:t>.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to the Executive (including under Section 5) shall be paid to his estate.</w:t>
      </w:r>
    </w:p>
    <w:p>
      <w:pPr>
        <w:spacing w:after="0" w:line="189" w:lineRule="exact"/>
        <w:rPr>
          <w:rFonts w:ascii="Times New Roman" w:cs="Times New Roman" w:eastAsia="Times New Roman" w:hAnsi="Times New Roman"/>
          <w:sz w:val="20"/>
          <w:szCs w:val="20"/>
          <w:color w:val="auto"/>
        </w:rPr>
      </w:pPr>
    </w:p>
    <w:p>
      <w:pPr>
        <w:jc w:val="both"/>
        <w:ind w:left="300" w:right="299" w:hanging="8"/>
        <w:spacing w:after="0" w:line="266" w:lineRule="auto"/>
        <w:tabs>
          <w:tab w:leader="none" w:pos="74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164" w:lineRule="exact"/>
        <w:rPr>
          <w:rFonts w:ascii="Times New Roman" w:cs="Times New Roman" w:eastAsia="Times New Roman" w:hAnsi="Times New Roman"/>
          <w:sz w:val="19"/>
          <w:szCs w:val="19"/>
          <w:color w:val="auto"/>
        </w:rPr>
      </w:pPr>
    </w:p>
    <w:p>
      <w:pPr>
        <w:jc w:val="both"/>
        <w:ind w:left="300" w:right="299" w:hanging="8"/>
        <w:spacing w:after="0" w:line="254" w:lineRule="auto"/>
        <w:tabs>
          <w:tab w:leader="none" w:pos="74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74" w:lineRule="exact"/>
        <w:rPr>
          <w:rFonts w:ascii="Times New Roman" w:cs="Times New Roman" w:eastAsia="Times New Roman" w:hAnsi="Times New Roman"/>
          <w:sz w:val="20"/>
          <w:szCs w:val="20"/>
          <w:color w:val="auto"/>
        </w:rPr>
      </w:pPr>
    </w:p>
    <w:p>
      <w:pPr>
        <w:jc w:val="both"/>
        <w:ind w:left="300" w:right="299" w:hanging="8"/>
        <w:spacing w:after="0" w:line="243" w:lineRule="auto"/>
        <w:tabs>
          <w:tab w:leader="none" w:pos="74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request, claim, demand, document, and other communication hereunder to any party hereto shall be effective upon receipt (or refusal of receipt) and shall be in writing and delivered personally or sent by telex, telecopy,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1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(a)If to the Company, to it at its current executive offices, Attn: Chief Executive Officer.</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(b)If to the Executive, at his most recent address on the payroll records of the Company.</w:t>
      </w:r>
    </w:p>
    <w:p>
      <w:pPr>
        <w:spacing w:after="0" w:line="216" w:lineRule="exact"/>
        <w:rPr>
          <w:sz w:val="20"/>
          <w:szCs w:val="20"/>
          <w:color w:val="auto"/>
        </w:rPr>
      </w:pPr>
    </w:p>
    <w:p>
      <w:pPr>
        <w:ind w:left="300" w:right="299" w:hanging="8"/>
        <w:spacing w:after="0" w:line="255" w:lineRule="auto"/>
        <w:tabs>
          <w:tab w:leader="none" w:pos="74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to be an original, but all of which together will constitute one and the same Agreement.</w:t>
      </w:r>
    </w:p>
    <w:p>
      <w:pPr>
        <w:spacing w:after="0" w:line="172" w:lineRule="exact"/>
        <w:rPr>
          <w:rFonts w:ascii="Times New Roman" w:cs="Times New Roman" w:eastAsia="Times New Roman" w:hAnsi="Times New Roman"/>
          <w:sz w:val="20"/>
          <w:szCs w:val="20"/>
          <w:color w:val="auto"/>
        </w:rPr>
      </w:pPr>
    </w:p>
    <w:p>
      <w:pPr>
        <w:jc w:val="both"/>
        <w:ind w:left="300" w:right="299" w:hanging="8"/>
        <w:spacing w:after="0" w:line="241" w:lineRule="auto"/>
        <w:tabs>
          <w:tab w:leader="none" w:pos="74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terms of this Agreement (together with any pre-invention assignment agreements with the Company and any other agreements and instruments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(including, without limitation, the Prior Agreement), and all such prior agreements, plans, provisions, understandings or arrangements shall be null and void in their entirety and of no further force or effect as of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86" w:lineRule="exact"/>
        <w:rPr>
          <w:rFonts w:ascii="Times New Roman" w:cs="Times New Roman" w:eastAsia="Times New Roman" w:hAnsi="Times New Roman"/>
          <w:sz w:val="20"/>
          <w:szCs w:val="20"/>
          <w:color w:val="auto"/>
        </w:rPr>
      </w:pPr>
    </w:p>
    <w:p>
      <w:pPr>
        <w:jc w:val="both"/>
        <w:ind w:left="300" w:right="299" w:hanging="8"/>
        <w:spacing w:after="0" w:line="239" w:lineRule="auto"/>
        <w:tabs>
          <w:tab w:leader="none" w:pos="74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Waivers</w:t>
      </w:r>
      <w:r>
        <w:rPr>
          <w:rFonts w:ascii="Times New Roman" w:cs="Times New Roman" w:eastAsia="Times New Roman" w:hAnsi="Times New Roman"/>
          <w:sz w:val="20"/>
          <w:szCs w:val="20"/>
          <w:color w:val="auto"/>
        </w:rPr>
        <w:t xml:space="preserve">. This Agreement may not be modified, amended or terminated except by an instrument in writing signed by the Executive and a duly authorized officer of the Company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such waiver shall not operate as a waiver of, or estoppel with respect to, any other or subsequent failure to comply or perform. No failure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8" w:name="page59"/>
    <w:bookmarkEnd w:id="58"/>
    <w:p>
      <w:pPr>
        <w:ind w:left="300" w:right="319" w:firstLine="441"/>
        <w:spacing w:after="0" w:line="269" w:lineRule="auto"/>
        <w:rPr>
          <w:sz w:val="20"/>
          <w:szCs w:val="20"/>
          <w:color w:val="auto"/>
        </w:rPr>
      </w:pPr>
      <w:r>
        <w:rPr>
          <w:rFonts w:ascii="Times New Roman" w:cs="Times New Roman" w:eastAsia="Times New Roman" w:hAnsi="Times New Roman"/>
          <w:sz w:val="20"/>
          <w:szCs w:val="20"/>
          <w:color w:val="auto"/>
        </w:rPr>
        <w:t>to exercise and no delay in exercising any right, remedy, or power hereunder shall preclude any other or further exercise of any other right, remedy, or power provided herein or by law or in equity.</w:t>
      </w:r>
    </w:p>
    <w:p>
      <w:pPr>
        <w:spacing w:after="0" w:line="159" w:lineRule="exact"/>
        <w:rPr>
          <w:sz w:val="20"/>
          <w:szCs w:val="20"/>
          <w:color w:val="auto"/>
        </w:rPr>
      </w:pPr>
    </w:p>
    <w:p>
      <w:pPr>
        <w:jc w:val="both"/>
        <w:ind w:left="300" w:right="299" w:hanging="8"/>
        <w:spacing w:after="0" w:line="244" w:lineRule="auto"/>
        <w:tabs>
          <w:tab w:leader="none" w:pos="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Inconsistent Actions</w:t>
      </w:r>
      <w:r>
        <w:rPr>
          <w:rFonts w:ascii="Times New Roman" w:cs="Times New Roman" w:eastAsia="Times New Roman" w:hAnsi="Times New Roman"/>
          <w:sz w:val="20"/>
          <w:szCs w:val="20"/>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5" w:lineRule="exact"/>
        <w:rPr>
          <w:rFonts w:ascii="Times New Roman" w:cs="Times New Roman" w:eastAsia="Times New Roman" w:hAnsi="Times New Roman"/>
          <w:sz w:val="20"/>
          <w:szCs w:val="20"/>
          <w:color w:val="auto"/>
        </w:rPr>
      </w:pPr>
    </w:p>
    <w:p>
      <w:pPr>
        <w:jc w:val="both"/>
        <w:ind w:left="300" w:right="299" w:hanging="8"/>
        <w:spacing w:after="0" w:line="241" w:lineRule="auto"/>
        <w:tabs>
          <w:tab w:leader="none" w:pos="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spacing w:after="0" w:line="173" w:lineRule="exact"/>
        <w:rPr>
          <w:rFonts w:ascii="Times New Roman" w:cs="Times New Roman" w:eastAsia="Times New Roman" w:hAnsi="Times New Roman"/>
          <w:sz w:val="20"/>
          <w:szCs w:val="20"/>
          <w:color w:val="auto"/>
        </w:rPr>
      </w:pPr>
    </w:p>
    <w:p>
      <w:pPr>
        <w:jc w:val="both"/>
        <w:ind w:left="300" w:right="299" w:hanging="8"/>
        <w:spacing w:after="0" w:line="241" w:lineRule="auto"/>
        <w:tabs>
          <w:tab w:leader="none" w:pos="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The parties agree that any suit, action or proceeding brought by or against such party in connection with this Agreement shall be brought exclusively in the United States District Court for the District of Delaware to the extent that federal jurisdiction exists, and in the Delaware Chancery Court to the extent that federal jurisdiction does not exist.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188" w:lineRule="exact"/>
        <w:rPr>
          <w:rFonts w:ascii="Times New Roman" w:cs="Times New Roman" w:eastAsia="Times New Roman" w:hAnsi="Times New Roman"/>
          <w:sz w:val="20"/>
          <w:szCs w:val="20"/>
          <w:color w:val="auto"/>
        </w:rPr>
      </w:pPr>
    </w:p>
    <w:p>
      <w:pPr>
        <w:jc w:val="both"/>
        <w:ind w:left="300" w:right="299" w:hanging="8"/>
        <w:spacing w:after="0" w:line="241" w:lineRule="auto"/>
        <w:tabs>
          <w:tab w:leader="none" w:pos="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91" w:lineRule="exact"/>
        <w:rPr>
          <w:rFonts w:ascii="Times New Roman" w:cs="Times New Roman" w:eastAsia="Times New Roman" w:hAnsi="Times New Roman"/>
          <w:sz w:val="20"/>
          <w:szCs w:val="20"/>
          <w:color w:val="auto"/>
        </w:rPr>
      </w:pPr>
    </w:p>
    <w:p>
      <w:pPr>
        <w:jc w:val="both"/>
        <w:ind w:left="300" w:right="299" w:hanging="8"/>
        <w:spacing w:after="0" w:line="244" w:lineRule="auto"/>
        <w:tabs>
          <w:tab w:leader="none" w:pos="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pacing w:after="0" w:line="185" w:lineRule="exact"/>
        <w:rPr>
          <w:rFonts w:ascii="Times New Roman" w:cs="Times New Roman" w:eastAsia="Times New Roman" w:hAnsi="Times New Roman"/>
          <w:sz w:val="20"/>
          <w:szCs w:val="20"/>
          <w:color w:val="auto"/>
        </w:rPr>
      </w:pPr>
    </w:p>
    <w:p>
      <w:pPr>
        <w:jc w:val="both"/>
        <w:ind w:left="300" w:right="299" w:hanging="8"/>
        <w:spacing w:after="0" w:line="257" w:lineRule="auto"/>
        <w:tabs>
          <w:tab w:leader="none" w:pos="74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To the extent required by applicable law (including, without limitation, Section 304 of the Sarbanes-Oxley Act and Section 954 of the Dodd-Frank Wall Street Reform and Consumer Protection Act) and/or the rules and regulations of any securities exchange or inter-dealer quotation service on which equity of the Company or Parent is listed or quoted, or if so required pursuant to a written policy adopted by the Company or Parent, payments under this Agreement or in respect of Company or Parent equity incentive awards shall be subject (including on a retroactive basis) to clawback, forfeiture or similar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9" w:name="page60"/>
    <w:bookmarkEnd w:id="59"/>
    <w:p>
      <w:pPr>
        <w:ind w:left="300" w:right="299" w:firstLine="441"/>
        <w:spacing w:after="0" w:line="295" w:lineRule="auto"/>
        <w:rPr>
          <w:sz w:val="20"/>
          <w:szCs w:val="20"/>
          <w:color w:val="auto"/>
        </w:rPr>
      </w:pPr>
      <w:r>
        <w:rPr>
          <w:rFonts w:ascii="Times New Roman" w:cs="Times New Roman" w:eastAsia="Times New Roman" w:hAnsi="Times New Roman"/>
          <w:sz w:val="19"/>
          <w:szCs w:val="19"/>
          <w:color w:val="auto"/>
        </w:rPr>
        <w:t>requirements (and such requirements shall be deemed incorporated by reference into this Agreement and all agreements governing the terms of Company or Parent incentive equity compensation).</w:t>
      </w:r>
    </w:p>
    <w:p>
      <w:pPr>
        <w:spacing w:after="0" w:line="138" w:lineRule="exact"/>
        <w:rPr>
          <w:sz w:val="20"/>
          <w:szCs w:val="20"/>
          <w:color w:val="auto"/>
        </w:rPr>
      </w:pPr>
    </w:p>
    <w:p>
      <w:pPr>
        <w:jc w:val="both"/>
        <w:ind w:left="300" w:right="319" w:hanging="8"/>
        <w:spacing w:after="0" w:line="247" w:lineRule="auto"/>
        <w:tabs>
          <w:tab w:leader="none" w:pos="74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Benefit Plans</w:t>
      </w:r>
      <w:r>
        <w:rPr>
          <w:rFonts w:ascii="Times New Roman" w:cs="Times New Roman" w:eastAsia="Times New Roman" w:hAnsi="Times New Roman"/>
          <w:sz w:val="20"/>
          <w:szCs w:val="20"/>
          <w:color w:val="auto"/>
        </w:rPr>
        <w:t>. No payment under this Agreement shall be taken into account in determining any benefits under any pension, retirement, profit sharing, group insurance or other benefit plan of the Company except as expressly required otherwise by law or the terms of such plan.</w:t>
      </w:r>
    </w:p>
    <w:p>
      <w:pPr>
        <w:spacing w:after="0" w:line="180" w:lineRule="exact"/>
        <w:rPr>
          <w:rFonts w:ascii="Times New Roman" w:cs="Times New Roman" w:eastAsia="Times New Roman" w:hAnsi="Times New Roman"/>
          <w:sz w:val="20"/>
          <w:szCs w:val="20"/>
          <w:color w:val="auto"/>
        </w:rPr>
      </w:pPr>
    </w:p>
    <w:p>
      <w:pPr>
        <w:jc w:val="both"/>
        <w:ind w:left="300" w:right="299" w:hanging="8"/>
        <w:spacing w:after="0" w:line="255" w:lineRule="auto"/>
        <w:tabs>
          <w:tab w:leader="none" w:pos="741"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Employee Representations</w:t>
      </w:r>
      <w:r>
        <w:rPr>
          <w:rFonts w:ascii="Times New Roman" w:cs="Times New Roman" w:eastAsia="Times New Roman" w:hAnsi="Times New Roman"/>
          <w:sz w:val="19"/>
          <w:szCs w:val="19"/>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Executive has the full right, authority and capacity to enter into this Agreement and perform Executive’s obligations hereunder,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the Executive shall keep all terms of this Agreement confidential, except with respect to disclosure to the Executive’s spouse, accountants or attorneys, each of whom shall agree to keep all terms of this Agreement confidential.</w:t>
      </w:r>
    </w:p>
    <w:p>
      <w:pPr>
        <w:spacing w:after="0" w:line="173" w:lineRule="exact"/>
        <w:rPr>
          <w:rFonts w:ascii="Times New Roman" w:cs="Times New Roman" w:eastAsia="Times New Roman" w:hAnsi="Times New Roman"/>
          <w:sz w:val="19"/>
          <w:szCs w:val="19"/>
          <w:color w:val="auto"/>
        </w:rPr>
      </w:pPr>
    </w:p>
    <w:p>
      <w:pPr>
        <w:ind w:left="300" w:right="299" w:hanging="8"/>
        <w:spacing w:after="0" w:line="255" w:lineRule="auto"/>
        <w:tabs>
          <w:tab w:leader="none" w:pos="74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Ownership</w:t>
      </w:r>
      <w:r>
        <w:rPr>
          <w:rFonts w:ascii="Times New Roman" w:cs="Times New Roman" w:eastAsia="Times New Roman" w:hAnsi="Times New Roman"/>
          <w:sz w:val="20"/>
          <w:szCs w:val="20"/>
          <w:color w:val="auto"/>
        </w:rPr>
        <w:t>. The Executive will be subject to such stock ownership guidelines and holding requirements as may be implemented by the Board from time to time.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20"/>
          <w:szCs w:val="20"/>
          <w:color w:val="auto"/>
        </w:rPr>
        <w:t>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20"/>
          <w:szCs w:val="20"/>
          <w:b w:val="1"/>
          <w:bCs w:val="1"/>
          <w:color w:val="auto"/>
        </w:rPr>
        <w:t>MAGNACHIP SEMICONDUCTOR, LTD.</w:t>
      </w:r>
    </w:p>
    <w:p>
      <w:pPr>
        <w:spacing w:after="0" w:line="200" w:lineRule="exact"/>
        <w:rPr>
          <w:sz w:val="20"/>
          <w:szCs w:val="20"/>
          <w:color w:val="auto"/>
        </w:rPr>
      </w:pPr>
    </w:p>
    <w:p>
      <w:pPr>
        <w:spacing w:after="0" w:line="23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-10795</wp:posOffset>
            </wp:positionV>
            <wp:extent cx="12566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Name: Young-Joon Kim</w:t>
      </w:r>
    </w:p>
    <w:p>
      <w:pPr>
        <w:ind w:left="4560"/>
        <w:spacing w:after="0"/>
        <w:rPr>
          <w:sz w:val="20"/>
          <w:szCs w:val="20"/>
          <w:color w:val="auto"/>
        </w:rPr>
      </w:pPr>
      <w:r>
        <w:rPr>
          <w:rFonts w:ascii="Times New Roman" w:cs="Times New Roman" w:eastAsia="Times New Roman" w:hAnsi="Times New Roman"/>
          <w:sz w:val="20"/>
          <w:szCs w:val="20"/>
          <w:color w:val="auto"/>
        </w:rPr>
        <w:t>Title: Representative Director</w:t>
      </w:r>
    </w:p>
    <w:p>
      <w:pPr>
        <w:spacing w:after="0" w:line="200" w:lineRule="exact"/>
        <w:rPr>
          <w:sz w:val="20"/>
          <w:szCs w:val="20"/>
          <w:color w:val="auto"/>
        </w:rPr>
      </w:pP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MAGNACHIP SEMICONDUCTOR</w:t>
      </w:r>
    </w:p>
    <w:p>
      <w:pPr>
        <w:spacing w:after="0" w:line="2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CORPORATION</w:t>
      </w:r>
    </w:p>
    <w:p>
      <w:pPr>
        <w:spacing w:after="0" w:line="200" w:lineRule="exact"/>
        <w:rPr>
          <w:sz w:val="20"/>
          <w:szCs w:val="20"/>
          <w:color w:val="auto"/>
        </w:rPr>
      </w:pPr>
    </w:p>
    <w:p>
      <w:pPr>
        <w:spacing w:after="0" w:line="21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-10795</wp:posOffset>
            </wp:positionV>
            <wp:extent cx="12566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0"/>
          <w:szCs w:val="20"/>
          <w:color w:val="auto"/>
        </w:rPr>
        <w:t>Name: Young-Joon Kim</w:t>
      </w:r>
    </w:p>
    <w:p>
      <w:pPr>
        <w:ind w:left="45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3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u w:val="single" w:color="auto"/>
          <w:color w:val="auto"/>
        </w:rPr>
        <w:t>/s/ Seunghoon Lee</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Seunghoon Lee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487045</wp:posOffset>
            </wp:positionV>
            <wp:extent cx="703770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FORM OF RELEASE</w:t>
      </w:r>
    </w:p>
    <w:p>
      <w:pPr>
        <w:spacing w:after="0" w:line="220"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As used in this Release of Claims (this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Employment Agreement dated [__________], 2018, between MagnaChip Semiconductor,</w:t>
      </w:r>
    </w:p>
    <w:p>
      <w:pPr>
        <w:spacing w:after="0" w:line="4"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Ltd.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MagnaChip Semiconductor Corporation, a Delaware corporation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and [__________] (my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0"/>
          <w:szCs w:val="20"/>
          <w:color w:val="auto"/>
        </w:rPr>
        <w:t>For and in consideration of the payments and benefits under Section 5(b) of the Employment Agreement,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Times New Roman" w:cs="Times New Roman" w:eastAsia="Times New Roman" w:hAnsi="Times New Roman"/>
          <w:sz w:val="20"/>
          <w:szCs w:val="20"/>
          <w:u w:val="single" w:color="auto"/>
          <w:color w:val="auto"/>
        </w:rPr>
        <w:t>Company Releasees</w:t>
      </w:r>
      <w:r>
        <w:rPr>
          <w:rFonts w:ascii="Times New Roman" w:cs="Times New Roman" w:eastAsia="Times New Roman" w:hAnsi="Times New Roman"/>
          <w:sz w:val="20"/>
          <w:szCs w:val="20"/>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employment by or service to the Company or the termination thereof, including without limitation any and all claims arising under national, federal, provincial, state, or local laws relating to employment, including without limitation claims of wrongful discharge, breach of express or implied contract, fraud, misrepresentation, defamation, intentional infliction of emotional distress,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pacing w:after="0" w:line="192"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I acknowledge and agree that as of the date I execute this Release, I have no knowledge of any facts or circumstances that give rise or could give rise to any claims under any of the laws listed in the preceding paragraph and that I have not filed any claim against any of the Releasees before any local, state, federal, or foreign agency, court, arbitrator, mediator, arbitration or mediation panel, or other body (each individually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including any Proceeding conducted by the Equal Employment Opportunity Commission (“</w:t>
      </w:r>
      <w:r>
        <w:rPr>
          <w:rFonts w:ascii="Times New Roman" w:cs="Times New Roman" w:eastAsia="Times New Roman" w:hAnsi="Times New Roman"/>
          <w:sz w:val="20"/>
          <w:szCs w:val="20"/>
          <w:u w:val="single" w:color="auto"/>
          <w:color w:val="auto"/>
        </w:rPr>
        <w:t>EEOC</w:t>
      </w:r>
      <w:r>
        <w:rPr>
          <w:rFonts w:ascii="Times New Roman" w:cs="Times New Roman" w:eastAsia="Times New Roman" w:hAnsi="Times New Roman"/>
          <w:sz w:val="20"/>
          <w:szCs w:val="20"/>
          <w:color w:val="auto"/>
        </w:rPr>
        <w:t>”). Further, I understand that, by executing this Release, I will be limiting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1003935</wp:posOffset>
            </wp:positionV>
            <wp:extent cx="703770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62" w:name="page63"/>
    <w:bookmarkEnd w:id="62"/>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availability of certain remedies that I may have against the Company and limiting also my ability to pursue certain claims against the Company Releasees.</w:t>
      </w:r>
    </w:p>
    <w:p>
      <w:pPr>
        <w:spacing w:after="0" w:line="159"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By executing this Release, I specifically release all claims relating to my employment and its termination under ADEA, a federal statute that, among other things, prohibits discrimination on the basis of age in employment and employee benefit plans.</w:t>
      </w:r>
    </w:p>
    <w:p>
      <w:pPr>
        <w:spacing w:after="0" w:line="181"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Notwithstanding the generality of the foregoing, I do not release (i) claims to receive payments and benefits under Section 5(b) of the Employment Agreement in accordance with the terms of the Employment Agreement, (ii) claims for indemnification arising under any applicable indemnification obligation of the Company, (iii) any vested rights I may have under any qualified employee benefit plans, programs or policies of the Company and any of its Affiliates, or (iv)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19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I understand that nothing in this Agreement will preclude, prohibit or restrict me from (i) communicating with, any federal, state or local administrative or regulatory agency or authority, including but not limited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(ii) participating or cooperating in any investigation conducted by any governmental agency or authority; or (iii) filing a charge of discrimination with the EEOC or any other federal state or local administrative agency or regulatory authority.</w:t>
      </w:r>
    </w:p>
    <w:p>
      <w:pPr>
        <w:spacing w:after="0" w:line="188"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Nothing in this Agreement, or any other agreement with the Company, prohibits or is intended in any manner to prohibit, me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This Agreement does not limit my right to receive an award (including, without limitation, a monetary reward) for information provided to the SEC. I do not need the prior authorization of anyone at the Company to make any such reports or disclosures, and I am not required to notify the Company that I have made such reports or disclosures.</w:t>
      </w:r>
    </w:p>
    <w:p>
      <w:pPr>
        <w:spacing w:after="0" w:line="176"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Nothing in this Agreement or any other agreement or policy of the Company is intended to interfere with or restrain the immunity provided under 18 U.S.C. §1833(b). I cannot be held criminally or civilly liable under any federal or state trade secret law for the disclosure of a trade secret that is made (i)</w:t>
      </w:r>
    </w:p>
    <w:p>
      <w:pPr>
        <w:jc w:val="both"/>
        <w:ind w:left="300" w:right="299" w:hanging="8"/>
        <w:spacing w:after="0" w:line="238" w:lineRule="auto"/>
        <w:tabs>
          <w:tab w:leader="none" w:pos="6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spacing w:after="0" w:line="200" w:lineRule="exact"/>
        <w:rPr>
          <w:sz w:val="20"/>
          <w:szCs w:val="20"/>
          <w:color w:val="auto"/>
        </w:rPr>
      </w:pPr>
    </w:p>
    <w:p>
      <w:pPr>
        <w:jc w:val="both"/>
        <w:ind w:left="300" w:right="299" w:firstLine="648"/>
        <w:spacing w:after="0" w:line="230" w:lineRule="auto"/>
        <w:rPr>
          <w:sz w:val="20"/>
          <w:szCs w:val="20"/>
          <w:color w:val="auto"/>
        </w:rPr>
      </w:pPr>
      <w:r>
        <w:rPr>
          <w:rFonts w:ascii="Times New Roman" w:cs="Times New Roman" w:eastAsia="Times New Roman" w:hAnsi="Times New Roman"/>
          <w:sz w:val="20"/>
          <w:szCs w:val="20"/>
          <w:color w:val="auto"/>
        </w:rPr>
        <w:t>I acknowledge that I have been given at least [21]/[45]</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[21]/[45] days have elapsed, I do so knowingly,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120650</wp:posOffset>
            </wp:positionV>
            <wp:extent cx="1688465"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34" w:lineRule="exact"/>
        <w:rPr>
          <w:sz w:val="20"/>
          <w:szCs w:val="20"/>
          <w:color w:val="auto"/>
        </w:rPr>
      </w:pPr>
    </w:p>
    <w:p>
      <w:pPr>
        <w:ind w:left="300" w:right="479" w:hanging="8"/>
        <w:spacing w:after="0" w:line="222" w:lineRule="auto"/>
        <w:tabs>
          <w:tab w:leader="none" w:pos="405"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NTD: To be selected based on whether applicable termination was “in connection with an exit incentive or other employment termination program” (as such phrase is defined in the Age Discrimination in Employment Act of 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879475</wp:posOffset>
            </wp:positionV>
            <wp:extent cx="703770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3" w:name="page64"/>
    <w:bookmarkEnd w:id="63"/>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voluntarily, and upon the advice and with the approval of my legal counsel (if any), and that I voluntarily waive any remaining consideration period.</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I understand that after executing this Release, I have the right to revoke it within seven days after its execution. I understand that this Release will not become effective and enforceable unless the seven-day revocation period passes and I do not revoke the Release in writing. I understand that this Release may not be revoked after the seven-day revocation period has passed. I understand also that any revocation of this Release must be made in writing and delivered to the Company at its principal place of business within the seven-day period.</w:t>
      </w:r>
    </w:p>
    <w:p>
      <w:pPr>
        <w:spacing w:after="0" w:line="188"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This Release will become effective, irrevocable, and binding on the eighth day after its execution, so long as I have not timely revoked it as set forth above. I understand and acknowledge that I will not be entitled to payments or benefits under Section 5(b) of the Employment Agreement unless this Release is effective on or before the date that is 60 days following the Date of Termination (as defined in the Employment Agreement).</w:t>
      </w:r>
    </w:p>
    <w:p>
      <w:pPr>
        <w:spacing w:after="0" w:line="186" w:lineRule="exact"/>
        <w:rPr>
          <w:sz w:val="20"/>
          <w:szCs w:val="20"/>
          <w:color w:val="auto"/>
        </w:rPr>
      </w:pPr>
    </w:p>
    <w:p>
      <w:pPr>
        <w:jc w:val="both"/>
        <w:ind w:left="300" w:right="299" w:firstLine="648"/>
        <w:spacing w:after="0" w:line="295" w:lineRule="auto"/>
        <w:rPr>
          <w:sz w:val="20"/>
          <w:szCs w:val="20"/>
          <w:color w:val="auto"/>
        </w:rPr>
      </w:pPr>
      <w:r>
        <w:rPr>
          <w:rFonts w:ascii="Times New Roman" w:cs="Times New Roman" w:eastAsia="Times New Roman" w:hAnsi="Times New Roman"/>
          <w:sz w:val="19"/>
          <w:szCs w:val="19"/>
          <w:color w:val="auto"/>
        </w:rPr>
        <w:t>I hereby agree to waive any and all claims to re-employment with the Company or any of its affiliates and affirmatively agree not to seek further employment with the Company or any of its affiliates.</w:t>
      </w:r>
    </w:p>
    <w:p>
      <w:pPr>
        <w:spacing w:after="0" w:line="138"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536575</wp:posOffset>
            </wp:positionV>
            <wp:extent cx="15074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271145</wp:posOffset>
            </wp:positionV>
            <wp:extent cx="15074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892810</wp:posOffset>
            </wp:positionV>
            <wp:extent cx="70377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4" w:name="page65"/>
    <w:bookmarkEnd w:id="6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Camillo Martino, certify that:</w:t>
      </w:r>
    </w:p>
    <w:p>
      <w:pPr>
        <w:spacing w:after="0" w:line="104" w:lineRule="exact"/>
        <w:rPr>
          <w:sz w:val="20"/>
          <w:szCs w:val="20"/>
          <w:color w:val="auto"/>
        </w:rPr>
      </w:pPr>
    </w:p>
    <w:p>
      <w:pPr>
        <w:ind w:left="700" w:hanging="18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103"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7"/>
          <w:szCs w:val="17"/>
          <w:color w:val="auto"/>
        </w:rPr>
      </w:pPr>
    </w:p>
    <w:p>
      <w:pPr>
        <w:ind w:firstLine="517"/>
        <w:spacing w:after="0" w:line="266"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40" w:firstLine="517"/>
        <w:spacing w:after="0" w:line="258"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520" w:right="220" w:hanging="3"/>
        <w:spacing w:after="0" w:line="258" w:lineRule="auto"/>
        <w:tabs>
          <w:tab w:leader="none" w:pos="7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520" w:right="160" w:hanging="3"/>
        <w:spacing w:after="0" w:line="258" w:lineRule="auto"/>
        <w:tabs>
          <w:tab w:leader="none" w:pos="7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720" w:hanging="3"/>
        <w:spacing w:after="0" w:line="312" w:lineRule="auto"/>
        <w:tabs>
          <w:tab w:leader="none" w:pos="76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jc w:val="both"/>
        <w:ind w:left="520" w:right="180" w:hanging="3"/>
        <w:spacing w:after="0" w:line="258" w:lineRule="auto"/>
        <w:tabs>
          <w:tab w:leader="none" w:pos="7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right="180" w:firstLine="517"/>
        <w:spacing w:after="0" w:line="266" w:lineRule="auto"/>
        <w:tabs>
          <w:tab w:leader="none" w:pos="6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520" w:right="140" w:hanging="3"/>
        <w:spacing w:after="0" w:line="282" w:lineRule="auto"/>
        <w:tabs>
          <w:tab w:leader="none" w:pos="7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520" w:right="80" w:hanging="3"/>
        <w:spacing w:after="0" w:line="266" w:lineRule="auto"/>
        <w:tabs>
          <w:tab w:leader="none" w:pos="7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661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Camillo Martino</w:t>
      </w:r>
    </w:p>
    <w:p>
      <w:pPr>
        <w:spacing w:after="0" w:line="219" w:lineRule="auto"/>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5" w:name="page66"/>
    <w:bookmarkEnd w:id="65"/>
    <w:p>
      <w:pPr>
        <w:spacing w:after="0" w:line="1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Shinyoung Park, certify that:</w:t>
      </w:r>
    </w:p>
    <w:p>
      <w:pPr>
        <w:spacing w:after="0" w:line="104" w:lineRule="exact"/>
        <w:rPr>
          <w:sz w:val="20"/>
          <w:szCs w:val="20"/>
          <w:color w:val="auto"/>
        </w:rPr>
      </w:pPr>
    </w:p>
    <w:p>
      <w:pPr>
        <w:ind w:left="700" w:hanging="183"/>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Magnachip Semiconductor Corporation;</w:t>
      </w:r>
    </w:p>
    <w:p>
      <w:pPr>
        <w:spacing w:after="0" w:line="103"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7"/>
          <w:szCs w:val="17"/>
          <w:color w:val="auto"/>
        </w:rPr>
      </w:pPr>
    </w:p>
    <w:p>
      <w:pPr>
        <w:ind w:firstLine="517"/>
        <w:spacing w:after="0" w:line="266" w:lineRule="auto"/>
        <w:tabs>
          <w:tab w:leader="none" w:pos="6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right="40" w:firstLine="517"/>
        <w:spacing w:after="0" w:line="258" w:lineRule="auto"/>
        <w:tabs>
          <w:tab w:leader="none" w:pos="6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520" w:right="220" w:hanging="3"/>
        <w:spacing w:after="0" w:line="258" w:lineRule="auto"/>
        <w:tabs>
          <w:tab w:leader="none" w:pos="7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520" w:right="160" w:hanging="3"/>
        <w:spacing w:after="0" w:line="258" w:lineRule="auto"/>
        <w:tabs>
          <w:tab w:leader="none" w:pos="7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520" w:right="720" w:hanging="3"/>
        <w:spacing w:after="0" w:line="312" w:lineRule="auto"/>
        <w:tabs>
          <w:tab w:leader="none" w:pos="76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jc w:val="both"/>
        <w:ind w:left="520" w:right="180" w:hanging="3"/>
        <w:spacing w:after="0" w:line="258" w:lineRule="auto"/>
        <w:tabs>
          <w:tab w:leader="none" w:pos="7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right="180" w:firstLine="517"/>
        <w:spacing w:after="0" w:line="266" w:lineRule="auto"/>
        <w:tabs>
          <w:tab w:leader="none" w:pos="6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left="520" w:right="140" w:hanging="3"/>
        <w:spacing w:after="0" w:line="282" w:lineRule="auto"/>
        <w:tabs>
          <w:tab w:leader="none" w:pos="7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520" w:right="80" w:hanging="3"/>
        <w:spacing w:after="0" w:line="266" w:lineRule="auto"/>
        <w:tabs>
          <w:tab w:leader="none" w:pos="7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Shinyoung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Shinyoung Park</w:t>
      </w:r>
    </w:p>
    <w:p>
      <w:pPr>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122" w:lineRule="exact"/>
        <w:rPr>
          <w:sz w:val="20"/>
          <w:szCs w:val="20"/>
          <w:color w:val="auto"/>
        </w:rPr>
      </w:pPr>
    </w:p>
    <w:p>
      <w:pPr>
        <w:ind w:right="340" w:firstLine="517"/>
        <w:spacing w:after="0" w:line="258" w:lineRule="auto"/>
        <w:tabs>
          <w:tab w:leader="none" w:pos="7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42" w:lineRule="exact"/>
        <w:rPr>
          <w:rFonts w:ascii="Times New Roman" w:cs="Times New Roman" w:eastAsia="Times New Roman" w:hAnsi="Times New Roman"/>
          <w:sz w:val="18"/>
          <w:szCs w:val="18"/>
          <w:color w:val="auto"/>
        </w:rPr>
      </w:pPr>
    </w:p>
    <w:p>
      <w:pPr>
        <w:ind w:right="120" w:firstLine="517"/>
        <w:spacing w:after="0" w:line="266" w:lineRule="auto"/>
        <w:tabs>
          <w:tab w:leader="none" w:pos="7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Camillo Martino</w:t>
            </w:r>
          </w:p>
        </w:tc>
      </w:tr>
      <w:tr>
        <w:trPr>
          <w:trHeight w:val="151"/>
        </w:trPr>
        <w:tc>
          <w:tcPr>
            <w:tcW w:w="6080" w:type="dxa"/>
            <w:vAlign w:val="bottom"/>
          </w:tcPr>
          <w:p>
            <w:pPr>
              <w:spacing w:after="0"/>
              <w:rPr>
                <w:sz w:val="13"/>
                <w:szCs w:val="13"/>
                <w:color w:val="auto"/>
              </w:rPr>
            </w:pPr>
          </w:p>
        </w:tc>
        <w:tc>
          <w:tcPr>
            <w:tcW w:w="51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Camillo Martino</w:t>
            </w:r>
          </w:p>
        </w:tc>
      </w:tr>
      <w:tr>
        <w:trPr>
          <w:trHeight w:val="189"/>
        </w:trPr>
        <w:tc>
          <w:tcPr>
            <w:tcW w:w="608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Chairman and Interim Chief Executive Officer</w:t>
            </w:r>
          </w:p>
        </w:tc>
      </w:tr>
      <w:tr>
        <w:trPr>
          <w:trHeight w:val="234"/>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to such officer’s knowledge, that:</w:t>
      </w:r>
    </w:p>
    <w:p>
      <w:pPr>
        <w:spacing w:after="0" w:line="122" w:lineRule="exact"/>
        <w:rPr>
          <w:sz w:val="20"/>
          <w:szCs w:val="20"/>
          <w:color w:val="auto"/>
        </w:rPr>
      </w:pPr>
    </w:p>
    <w:p>
      <w:pPr>
        <w:ind w:right="340" w:firstLine="517"/>
        <w:spacing w:after="0" w:line="258" w:lineRule="auto"/>
        <w:tabs>
          <w:tab w:leader="none" w:pos="7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as filed with the Securities and Exchange Commission on the date hereof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42" w:lineRule="exact"/>
        <w:rPr>
          <w:rFonts w:ascii="Times New Roman" w:cs="Times New Roman" w:eastAsia="Times New Roman" w:hAnsi="Times New Roman"/>
          <w:sz w:val="18"/>
          <w:szCs w:val="18"/>
          <w:color w:val="auto"/>
        </w:rPr>
      </w:pPr>
    </w:p>
    <w:p>
      <w:pPr>
        <w:ind w:right="120" w:firstLine="517"/>
        <w:spacing w:after="0" w:line="266" w:lineRule="auto"/>
        <w:tabs>
          <w:tab w:leader="none" w:pos="7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Shinyoung Park</w:t>
            </w:r>
          </w:p>
        </w:tc>
      </w:tr>
      <w:tr>
        <w:trPr>
          <w:trHeight w:val="151"/>
        </w:trPr>
        <w:tc>
          <w:tcPr>
            <w:tcW w:w="6080" w:type="dxa"/>
            <w:vAlign w:val="bottom"/>
          </w:tcPr>
          <w:p>
            <w:pPr>
              <w:spacing w:after="0"/>
              <w:rPr>
                <w:sz w:val="13"/>
                <w:szCs w:val="13"/>
                <w:color w:val="auto"/>
              </w:rPr>
            </w:pPr>
          </w:p>
        </w:tc>
        <w:tc>
          <w:tcPr>
            <w:tcW w:w="51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Shinyoung Park</w:t>
            </w:r>
          </w:p>
        </w:tc>
      </w:tr>
      <w:tr>
        <w:trPr>
          <w:trHeight w:val="189"/>
        </w:trPr>
        <w:tc>
          <w:tcPr>
            <w:tcW w:w="6080" w:type="dxa"/>
            <w:vAlign w:val="bottom"/>
          </w:tcPr>
          <w:p>
            <w:pPr>
              <w:spacing w:after="0"/>
              <w:rPr>
                <w:sz w:val="16"/>
                <w:szCs w:val="16"/>
                <w:color w:val="auto"/>
              </w:rPr>
            </w:pPr>
          </w:p>
        </w:tc>
        <w:tc>
          <w:tcPr>
            <w:tcW w:w="5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7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7"/>
    </w:lvl>
  </w:abstractNum>
  <w:abstractNum w:abstractNumId="5">
    <w:nsid w:val="419AC241"/>
    <w:multiLevelType w:val="hybridMultilevel"/>
    <w:lvl w:ilvl="0">
      <w:lvlJc w:val="left"/>
      <w:lvlText w:val="%1."/>
      <w:numFmt w:val="decimal"/>
      <w:start w:val="18"/>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2"/>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3"/>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lowerRoman"/>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upperLetter"/>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lowerLetter"/>
      <w:start w:val="6"/>
    </w:lvl>
  </w:abstractNum>
  <w:abstractNum w:abstractNumId="24">
    <w:nsid w:val="725A06FB"/>
    <w:multiLevelType w:val="hybridMultilevel"/>
    <w:lvl w:ilvl="0">
      <w:lvlJc w:val="left"/>
      <w:lvlText w:val="(%1)"/>
      <w:numFmt w:val="lowerLetter"/>
      <w:start w:val="9"/>
    </w:lvl>
  </w:abstractNum>
  <w:abstractNum w:abstractNumId="25">
    <w:nsid w:val="2CD89A32"/>
    <w:multiLevelType w:val="hybridMultilevel"/>
    <w:lvl w:ilvl="0">
      <w:lvlJc w:val="left"/>
      <w:lvlText w:val="(%1)"/>
      <w:numFmt w:val="lowerLetter"/>
      <w:start w:val="12"/>
    </w:lvl>
  </w:abstractNum>
  <w:abstractNum w:abstractNumId="26">
    <w:nsid w:val="57E4CCAF"/>
    <w:multiLevelType w:val="hybridMultilevel"/>
    <w:lvl w:ilvl="0">
      <w:lvlJc w:val="left"/>
      <w:lvlText w:val="(%1)"/>
      <w:numFmt w:val="decimal"/>
      <w:start w:val="90"/>
    </w:lvl>
  </w:abstractNum>
  <w:abstractNum w:abstractNumId="27">
    <w:nsid w:val="7A6D8D3C"/>
    <w:multiLevelType w:val="hybridMultilevel"/>
    <w:lvl w:ilvl="0">
      <w:lvlJc w:val="left"/>
      <w:lvlText w:val="(%1)"/>
      <w:numFmt w:val="decimal"/>
      <w:start w:val="15"/>
    </w:lvl>
    <w:lvl w:ilvl="1">
      <w:lvlJc w:val="left"/>
      <w:lvlText w:val="(%2)"/>
      <w:numFmt w:val="lowerLetter"/>
      <w:start w:val="14"/>
    </w:lvl>
  </w:abstractNum>
  <w:abstractNum w:abstractNumId="28">
    <w:nsid w:val="4B588F54"/>
    <w:multiLevelType w:val="hybridMultilevel"/>
    <w:lvl w:ilvl="0">
      <w:lvlJc w:val="left"/>
      <w:lvlText w:val="%1"/>
      <w:numFmt w:val="decimal"/>
      <w:start w:val="1"/>
    </w:lvl>
    <w:lvl w:ilvl="1">
      <w:lvlJc w:val="left"/>
      <w:lvlText w:val="(%2)"/>
      <w:numFmt w:val="lowerLetter"/>
      <w:start w:val="20"/>
    </w:lvl>
  </w:abstractNum>
  <w:abstractNum w:abstractNumId="29">
    <w:nsid w:val="542289EC"/>
    <w:multiLevelType w:val="hybridMultilevel"/>
    <w:lvl w:ilvl="0">
      <w:lvlJc w:val="left"/>
      <w:lvlText w:val="%1."/>
      <w:numFmt w:val="decimal"/>
      <w:start w:val="2"/>
    </w:lvl>
    <w:lvl w:ilvl="1">
      <w:lvlJc w:val="left"/>
      <w:lvlText w:val="(%2)"/>
      <w:numFmt w:val="lowerLetter"/>
      <w:start w:val="1"/>
    </w:lvl>
  </w:abstractNum>
  <w:abstractNum w:abstractNumId="30">
    <w:nsid w:val="6DE91B18"/>
    <w:multiLevelType w:val="hybridMultilevel"/>
    <w:lvl w:ilvl="0">
      <w:lvlJc w:val="left"/>
      <w:lvlText w:val="(%1)"/>
      <w:numFmt w:val="lowerLetter"/>
      <w:start w:val="3"/>
    </w:lvl>
    <w:lvl w:ilvl="1">
      <w:lvlJc w:val="left"/>
      <w:lvlText w:val="(%2)"/>
      <w:numFmt w:val="lowerLetter"/>
      <w:start w:val="9"/>
    </w:lvl>
  </w:abstractNum>
  <w:abstractNum w:abstractNumId="31">
    <w:nsid w:val="38437FDB"/>
    <w:multiLevelType w:val="hybridMultilevel"/>
    <w:lvl w:ilvl="0">
      <w:lvlJc w:val="left"/>
      <w:lvlText w:val="%1."/>
      <w:numFmt w:val="decimal"/>
      <w:start w:val="3"/>
    </w:lvl>
    <w:lvl w:ilvl="1">
      <w:lvlJc w:val="left"/>
      <w:lvlText w:val="(%2)"/>
      <w:numFmt w:val="lowerLetter"/>
      <w:start w:val="1"/>
    </w:lvl>
  </w:abstractNum>
  <w:abstractNum w:abstractNumId="32">
    <w:nsid w:val="7644A45C"/>
    <w:multiLevelType w:val="hybridMultilevel"/>
    <w:lvl w:ilvl="0">
      <w:lvlJc w:val="left"/>
      <w:lvlText w:val="(%1)"/>
      <w:numFmt w:val="lowerLetter"/>
      <w:start w:val="3"/>
    </w:lvl>
  </w:abstractNum>
  <w:abstractNum w:abstractNumId="33">
    <w:nsid w:val="32FFF902"/>
    <w:multiLevelType w:val="hybridMultilevel"/>
    <w:lvl w:ilvl="0">
      <w:lvlJc w:val="left"/>
      <w:lvlText w:val="(%1)"/>
      <w:numFmt w:val="lowerLetter"/>
      <w:start w:val="5"/>
    </w:lvl>
  </w:abstractNum>
  <w:abstractNum w:abstractNumId="34">
    <w:nsid w:val="684A481A"/>
    <w:multiLevelType w:val="hybridMultilevel"/>
    <w:lvl w:ilvl="0">
      <w:lvlJc w:val="left"/>
      <w:lvlText w:val="1"/>
      <w:numFmt w:val="bullet"/>
      <w:start w:val="1"/>
    </w:lvl>
  </w:abstractNum>
  <w:abstractNum w:abstractNumId="35">
    <w:nsid w:val="579478FE"/>
    <w:multiLevelType w:val="hybridMultilevel"/>
    <w:lvl w:ilvl="0">
      <w:lvlJc w:val="left"/>
      <w:lvlText w:val="%1."/>
      <w:numFmt w:val="decimal"/>
      <w:start w:val="4"/>
    </w:lvl>
    <w:lvl w:ilvl="1">
      <w:lvlJc w:val="left"/>
      <w:lvlText w:val="(%2)"/>
      <w:numFmt w:val="lowerLetter"/>
      <w:start w:val="1"/>
    </w:lvl>
  </w:abstractNum>
  <w:abstractNum w:abstractNumId="36">
    <w:nsid w:val="749ABB43"/>
    <w:multiLevelType w:val="hybridMultilevel"/>
    <w:lvl w:ilvl="0">
      <w:lvlJc w:val="left"/>
      <w:lvlText w:val="(%1)"/>
      <w:numFmt w:val="lowerRoman"/>
      <w:start w:val="4"/>
    </w:lvl>
    <w:lvl w:ilvl="1">
      <w:lvlJc w:val="left"/>
      <w:lvlText w:val="(%2)"/>
      <w:numFmt w:val="lowerLetter"/>
      <w:start w:val="3"/>
    </w:lvl>
  </w:abstractNum>
  <w:abstractNum w:abstractNumId="37">
    <w:nsid w:val="3DC240FB"/>
    <w:multiLevelType w:val="hybridMultilevel"/>
    <w:lvl w:ilvl="0">
      <w:lvlJc w:val="left"/>
      <w:lvlText w:val="%1."/>
      <w:numFmt w:val="decimal"/>
      <w:start w:val="5"/>
    </w:lvl>
    <w:lvl w:ilvl="1">
      <w:lvlJc w:val="left"/>
      <w:lvlText w:val="(%2)"/>
      <w:numFmt w:val="lowerLetter"/>
      <w:start w:val="1"/>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1)"/>
      <w:numFmt w:val="lowerLetter"/>
      <w:start w:val="3"/>
    </w:lvl>
  </w:abstractNum>
  <w:abstractNum w:abstractNumId="40">
    <w:nsid w:val="75C6C33A"/>
    <w:multiLevelType w:val="hybridMultilevel"/>
    <w:lvl w:ilvl="0">
      <w:lvlJc w:val="left"/>
      <w:lvlText w:val="%1."/>
      <w:numFmt w:val="decimal"/>
      <w:start w:val="6"/>
    </w:lvl>
  </w:abstractNum>
  <w:abstractNum w:abstractNumId="41">
    <w:nsid w:val="12E685FB"/>
    <w:multiLevelType w:val="hybridMultilevel"/>
    <w:lvl w:ilvl="0">
      <w:lvlJc w:val="left"/>
      <w:lvlText w:val="%1."/>
      <w:numFmt w:val="decimal"/>
      <w:start w:val="7"/>
    </w:lvl>
    <w:lvl w:ilvl="1">
      <w:lvlJc w:val="left"/>
      <w:lvlText w:val="(%2)"/>
      <w:numFmt w:val="lowerLetter"/>
      <w:start w:val="1"/>
    </w:lvl>
  </w:abstractNum>
  <w:abstractNum w:abstractNumId="42">
    <w:nsid w:val="70C6A529"/>
    <w:multiLevelType w:val="hybridMultilevel"/>
    <w:lvl w:ilvl="0">
      <w:lvlJc w:val="left"/>
      <w:lvlText w:val="(%1)"/>
      <w:numFmt w:val="lowerLetter"/>
      <w:start w:val="3"/>
    </w:lvl>
    <w:lvl w:ilvl="1">
      <w:lvlJc w:val="left"/>
      <w:lvlText w:val="(%2)"/>
      <w:numFmt w:val="lowerLetter"/>
      <w:start w:val="9"/>
    </w:lvl>
  </w:abstractNum>
  <w:abstractNum w:abstractNumId="43">
    <w:nsid w:val="520EEDD1"/>
    <w:multiLevelType w:val="hybridMultilevel"/>
    <w:lvl w:ilvl="0">
      <w:lvlJc w:val="left"/>
      <w:lvlText w:val="(%1)"/>
      <w:numFmt w:val="lowerLetter"/>
      <w:start w:val="5"/>
    </w:lvl>
    <w:lvl w:ilvl="1">
      <w:lvlJc w:val="left"/>
      <w:lvlText w:val="(%2)"/>
      <w:numFmt w:val="lowerLetter"/>
      <w:start w:val="9"/>
    </w:lvl>
  </w:abstractNum>
  <w:abstractNum w:abstractNumId="44">
    <w:nsid w:val="374A3FE6"/>
    <w:multiLevelType w:val="hybridMultilevel"/>
    <w:lvl w:ilvl="0">
      <w:lvlJc w:val="left"/>
      <w:lvlText w:val="%1."/>
      <w:numFmt w:val="decimal"/>
      <w:start w:val="8"/>
    </w:lvl>
  </w:abstractNum>
  <w:abstractNum w:abstractNumId="45">
    <w:nsid w:val="4F4EF005"/>
    <w:multiLevelType w:val="hybridMultilevel"/>
    <w:lvl w:ilvl="0">
      <w:lvlJc w:val="left"/>
      <w:lvlText w:val="%1."/>
      <w:numFmt w:val="decimal"/>
      <w:start w:val="10"/>
    </w:lvl>
    <w:lvl w:ilvl="1">
      <w:lvlJc w:val="left"/>
      <w:lvlText w:val="(%2)"/>
      <w:numFmt w:val="lowerLetter"/>
      <w:start w:val="1"/>
    </w:lvl>
  </w:abstractNum>
  <w:abstractNum w:abstractNumId="46">
    <w:nsid w:val="23F9C13C"/>
    <w:multiLevelType w:val="hybridMultilevel"/>
    <w:lvl w:ilvl="0">
      <w:lvlJc w:val="left"/>
      <w:lvlText w:val="%1."/>
      <w:numFmt w:val="decimal"/>
      <w:start w:val="11"/>
    </w:lvl>
  </w:abstractNum>
  <w:abstractNum w:abstractNumId="47">
    <w:nsid w:val="649BB77C"/>
    <w:multiLevelType w:val="hybridMultilevel"/>
    <w:lvl w:ilvl="0">
      <w:lvlJc w:val="left"/>
      <w:lvlText w:val="%1."/>
      <w:numFmt w:val="decimal"/>
      <w:start w:val="12"/>
    </w:lvl>
  </w:abstractNum>
  <w:abstractNum w:abstractNumId="48">
    <w:nsid w:val="275AC794"/>
    <w:multiLevelType w:val="hybridMultilevel"/>
    <w:lvl w:ilvl="0">
      <w:lvlJc w:val="left"/>
      <w:lvlText w:val="%1."/>
      <w:numFmt w:val="decimal"/>
      <w:start w:val="16"/>
    </w:lvl>
  </w:abstractNum>
  <w:abstractNum w:abstractNumId="49">
    <w:nsid w:val="39386575"/>
    <w:multiLevelType w:val="hybridMultilevel"/>
    <w:lvl w:ilvl="0">
      <w:lvlJc w:val="left"/>
      <w:lvlText w:val="%1."/>
      <w:numFmt w:val="decimal"/>
      <w:start w:val="19"/>
    </w:lvl>
  </w:abstractNum>
  <w:abstractNum w:abstractNumId="50">
    <w:nsid w:val="1CF10FD8"/>
    <w:multiLevelType w:val="hybridMultilevel"/>
    <w:lvl w:ilvl="0">
      <w:lvlJc w:val="left"/>
      <w:lvlText w:val="%1."/>
      <w:numFmt w:val="decimal"/>
      <w:start w:val="25"/>
    </w:lvl>
  </w:abstractNum>
  <w:abstractNum w:abstractNumId="51">
    <w:nsid w:val="180115BE"/>
    <w:multiLevelType w:val="hybridMultilevel"/>
    <w:lvl w:ilvl="0">
      <w:lvlJc w:val="left"/>
      <w:lvlText w:val="(%1)"/>
      <w:numFmt w:val="upperLetter"/>
      <w:start w:val="1"/>
    </w:lvl>
  </w:abstractNum>
  <w:abstractNum w:abstractNumId="52">
    <w:nsid w:val="235BA861"/>
    <w:multiLevelType w:val="hybridMultilevel"/>
    <w:lvl w:ilvl="0">
      <w:lvlJc w:val="left"/>
      <w:lvlText w:val="1"/>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2026-05-08T15:42:55Z</dcterms:created>
  <dcterms:modified xsi:type="dcterms:W3CDTF">2026-05-08T15:42:55Z</dcterms:modified>
</cp:coreProperties>
</file>